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193</w:t>
      </w:r>
    </w:p>
    <w:p>
      <w:r>
        <w:t>Bundesgericht (BGE), 1959-01-01, DE</w:t>
      </w:r>
    </w:p>
    <w:p>
      <w:r>
        <w:rPr>
          <w:b/>
        </w:rPr>
        <w:t xml:space="preserve">Quelle: </w:t>
      </w:r>
      <w:r>
        <w:t>https://mcp.opencaselaw.ch/entscheid/bge_BGE_85_III_193</w:t>
      </w:r>
    </w:p>
    <w:p>
      <w:r>
        <w:t>FR: ATF 85 III 193</w:t>
      </w:r>
    </w:p>
    <w:p>
      <w:r>
        <w:t>IT: DTF 85 III 193</w:t>
      </w:r>
    </w:p>
    <w:p>
      <w:pPr>
        <w:pStyle w:val="Heading2"/>
      </w:pPr>
      <w:r>
        <w:t>Regeste</w:t>
      </w:r>
    </w:p>
    <w:p>
      <w:r>
        <w:t>Regeste Anfechtungsklage nach Art. 287 SchKG. Bei einer Abtretung zahlungshalber (Art. 172 OR) überwiegt unter Umständen der Zweck der Sicherstellung gegenüber dem Zweck der Tilgung. Alsdann ist in erster Linie Abs. 1 Ziff. 1 des Art. 287 SchKG anwendbar, daneben allenfalls auch Ziff. 2 daselbst (Erw.3). Was ist unter einem üblichen Zahlungsmittel im Sinne der soeben erwähnten Ziff. 2 zu verstehen? (Erw. 4).</w:t>
      </w:r>
    </w:p>
    <w:p>
      <w:r>
        <w:t>Regeste Action révocatoire de l'art. 287 LP. Dans certains cas, la cession en vue de paiement (art. 172 CO) constitue davantage une sécurité qu'un paiement. L'art. 287 al. 1 ch. 1 LP est alors applicable en premier lieu, à côté du ch. 2 de cette disposition (cons. 3). Que faut-il entendre par valeurs usuelles au sens de ce chiffre 2? (cons. 4).</w:t>
      </w:r>
    </w:p>
    <w:p>
      <w:r>
        <w:t>Regesto Azione rivocatoria giusta l'art. 287 LEF. In determinati casi, la cessione in pagamento (art. 172 CO) costituisce più una garanzia che un pagamento. L'art. 287 cp. 1 num. 1 LEF è perciò applicabile specialmente accanto al num. 2 di questo disposto (consid. 3). Cosa bisogna intendere per mezzi usuali di pagamento nel senso del citato num. 2? (consid. 4).</w:t>
      </w:r>
    </w:p>
    <w:p>
      <w:pPr>
        <w:pStyle w:val="Heading2"/>
      </w:pPr>
      <w:r>
        <w:t>Erwägungen</w:t>
      </w:r>
    </w:p>
    <w:p>
      <w:r>
        <w:rPr>
          <w:b/>
        </w:rPr>
        <w:t>E. 3</w:t>
      </w:r>
    </w:p>
    <w:p>
      <w:r>
        <w:t>Gegenüber allen drei Zessionen beruft sich die Klägerin in erster Linie auf Art. 287 SchKG . Die Zession a) fällt nach ihrer Ansicht unter Abs. 1 Ziff. 1 dieser Norm ("Begründung eines Pfandrechtes zur Sicherung bereits bestehender Verbindlichkeiten..."), eventuell unter die - gegenüber den Zessionen b) und c) einzig angerufene - Ziff. 2 daselbst ("Tilgung einer Geldschuld auf andere BGE 85 III 193 S. 197 Weise als durch Barschaft oder durch anderweitige übliche Zahlungsmittel"). Es ist festgestellt, dass Schilliger, als er die angefochtenen Zessionen vornahm, bereits überschuldet war. Über den Anfechtungsgrund der soeben angeführten Ziff. 1 geht das Obergericht hinweg. Es beurteilt die Anfechtung aller drei Zessionen, soweit Art. 287 in Frage steht, nur nach der erwähnten Ziff. 2, also unter dem Gesichtspunkt von Tilgungsgeschäften. Diese Betrachtungsweise erweckt Bedenken. Von (erfolgter) Tilgung spricht man in der Regel nur bei Rechtshandlungen, die (sei es auch unter gewissen Vorbehalten) als Erfüllung oder vollwertiger Erfüllungsersatz gelten, so dass es (normalerweise) keiner weitern Leistung bedarf. Unter die erwähnte Ziff. 2 fallen daher Sachleistungen (Eigentumsübertragungen) wie auch Forderungszessionen "an Zahlungsstatt", dagegen nicht ohne weiteres auch Zessionen "zahlungshalber", die zwar einen zur Zahlung führenden Weg darstellen (vgl. Art. 172 OR ), aber einstweilen nur als Tilgungsversuch gelten und daher dem Schuldner nicht sogleich, sondern nach Massgabe ihres künftigen Ertrages als Erfüllung gutgeschrieben zu werden pflegen. So ist denn auch die Beklagte vorgegangen. In der Literatur wird freilich, in Anlehnung an BGE 38 II 724 = Sep.-Ausg. 15 S. 471, auch die Abtretung zahlungshalber der in Frage stehenden Ziff. 2 unterstellt (vgl. JAEGER/DAENIKER, N. 9 A zu Art. 287; BRAND, Anfechtungsklage, in der Schweizerischen juristischen Kartothek Nr. 742, III, B, 2, b). Das erwähnte Präjudiz will aber keinen allgemeinen dahingehenden Grundsatz aufstellen. Es hat nur die Übergabe von Wechseln im Auge, indem es (auf S. 727 der Amtlichen Sammlung = S. 474 der Separatausgabe) ausführt, bei der Annahme von Wechseln und wechselähnlichen Papieren pflege man im Geschäftsverkehr dem Unterschied zwischen einer Übergabe an Zahlungsstatt und einer Übergabe zahlungshalber entweder überhaupt keine Beachtung zu schenken oder doch keine wesentliche Bedeutung beizumessen, weil dem Nehmer eines solchen BGE 85 III 193 S. 198 Papiers in beiden Fällen bei Nichtzahlung der Rückgriff auf den Aussteller oder den Remittenten zustehe. Diese Erwägungen lassen sich nicht auf die Abtretung irgendwelcher Forderungen zahlungshalber übertragen. Bei den vorliegenden Abtretungen an die Beklagte sollte übrigens wohl nicht einmal die mit einer Abtretung zahlungshalber gewöhnlich verbundene aufschiebende Einrede gegenüber persönlicher Belangung des Schuldners (vgl. VON TUHR, OR § 56, II) gelten. Es wurden eben erst in Zukunft fällige, ratenweise über einen längern Zeitraum hin zu tilgende Forderungen (so bei den Zessionen b) und c)) abgetreten, bzw. Gegenstand der Abtretung waren aufschiebend bedingte, ungewiss ob und wann frei werdende Guthaben (so bei der Zession a) aus dem vorerwähnten Depotkonto). Wie der Geschäftsführer der Finanz AG bezeugt hat, waren Auszahlungen aus diesem Konto weder am 11. April 1956 fällig noch auch nur in absehbarer Zeit zu erwarten. Dem entspricht es, dass die Beklagte sich durch die Zessionen vom 11. und 14. April 1956 nicht davon abhalten liess, gleich in der zweiten Hälfte des nämlichen Monats neuerdings auf Zahlung der Rückstände zu drängen. Derartige Zessionen unsicherer zukünftiger Guthaben als Tilgungen im Sinne von Art. 287 Abs. 1 Ziff. 2 SchKG zu betrachten, geht nicht wohl an. In erster Linie kam ihnen jedenfalls die Bedeutung einer Sicherstellung zu. Daher ist vorweg Ziff. 1 der in Frage stehenden Anfechtungsnorm anzuwenden, die, wie die Rechtsprechung längst anerkennt, nicht nur Pfandbestellungen, sondern auch andere auf dingliche Sicherstellung gerichtete Rechtshandlungen treffen will (vgl. BGE 38 II 728 = Sep. Ausg. 15 S. 475, BGE 57 III 142 ). Da diese Zessionen neben der sofort zu bietenden Sicherheit allenfalls in Zukunft auch Tilgung verschaffen sollten, kann man sich allerdings fragen, ob von den Anfechtungsgründen des Art. 287 auch Ziff. 2 zutreffe. Es mag offen bleiben, ob dieser Anfechtungsgrund auch Rechtshandlungen erfasse, die in so unsicherer Weise wie die vorliegenden BGE 85 III 193 S. 199 auf zukünftige Tilgung abzielen. Wird dies bejaht, so sind einfach die beiden Anfechtungsgründe zugleich (mit den für jeden von ihnen geltenden Vorbehalten) zu bejahen. Keineswegs liesse es sich rechtfertigen, deshalb, weil sich die angefochtenen Rechtshandlungen nicht eindeutig nur der einen der angerufenen Ziffern unterstellen lassen, Art. 287 nun überhaupt nicht anzuwenden. Diese Norm will (gegenüber der auf Rechtshandlungen jeder Art anwendbaren Vorschrift des Art. 288) die Anfechtung bestimmter Rechtshandlungen erleichtern: derjenigen Rechtshandlungen nämlich, die der Schuldner im Zustande der Überschuldung in den letzten sechs Monaten vor der Konkurseröffnung vorgenommen hat und die auf eine von der ihm obliegenden Verbindlichkeit abweichende ("inkongruente") Deckung abzielen, sei es im Sinne der Sicherstellung (Ziff. 1) oder des Erfüllungsersatzes (Ziff. 2) oder der vorzeitigen Leistung (Ziff. 3). Liegt, wie hier, eine in doppelter Hinsicht, sowohl gemäss Ziff. 1 wie auch gemäss Ziff. 2, inkongruente Deckung vor, so muss die "Überschuldungspauliana" des Art. 287 SchKG (die sich nach der Eigenart der von ihr betroffenen Rechtshandlungen auch als "Deckungspauliana" benennen liesse) um so mehr Platz greifen.</w:t>
      </w:r>
    </w:p>
    <w:p>
      <w:r>
        <w:rPr>
          <w:b/>
        </w:rPr>
        <w:t>E. 4</w:t>
      </w:r>
    </w:p>
    <w:p>
      <w:r>
        <w:t>Angesichts des überwiegenden Sicherungscharakters der vorliegenden Zessionen kann der im Sinne von Art. 287 Abs. 1 Ziff. 2 SchKG erhobene Einwand, es habe sich um "übliche Zahlungsmittel" gehandelt, von vornherein nicht durchdringen. Er erweist sich im übrigen, auch wenn man diese Ziff. 2 allein ins Auge fasst, entgegen der vorinstanzlichen Entscheidung als unzutreffend. Auch wenn man nämlich einerseits dem Begriff der "Tilgung einer Geldschuld" blosse Tilgungsversuche, welche die Schuld nicht sogleich zum Erlöschen bringen, wie namentlich die Abtretung von Forderungen zahlungshalber, mitunterstellt, lässt sich anderseits grundsätzlich der Begriff des "üblichen Zahlungsmittels" nicht auf derartige nur auf mittelbare Tilgung angelegte Ersatzübertragungen BGE 85 III 193 S. 200 ausdehnen. Vielmehr ist eine Abtretung zahlungshalber, sofern überhaupt "Tilgung", in aller Regel eben als Tilgung "auf andere Weise als durch Barschaft oder durch anderweitige übliche Zahlungsmittel" zu betrachten, also gemäss dieser Norm anfechtbar. Als "übliche Zahlungsmittel" ("valeurs usuelles", "mezzi usuali di pagamento") können nur Leistungen gelten, die üblicherweise barem Gelde gleichgeachtet werden. Freilich fällt nicht nur in Betracht, was jedermann wie bare Münze anzunehmen pflegt (namentlich Banknoten). Es genügt eine am betreffenden Ort oder in den Gewerbekreisen, denen die Beteiligten angehören, übliche Zahlungsweise, sofern nicht etwa in ihren persönlichen Geschäftsbeziehungen abweichende Gepflogenheiten bestehen ("Orts- und Brancheüblichkeit"; vgl. BLUMENSTEIN, Handbuch S. 882/3; JAEGER, N. 9 B zu Art. 287). Diese Auslegung nimmt Rücksicht auf den weit verbreiteten bargeldlosen Zahlungsverkehr (durch Postcheck- und Bankgiro) wie auch auf die besondern Gebräuche bestimmter Gewerbe, in denen üblicherweise gewisse Arten von Kundenguthaben an Zahlungsstatt angenommen werden. So pflegt manchenorts im Baugewerbe der Unternehmer seine Forderung an den Bauherrn den Handwerkern als "Zahlung" abzutreten (vgl. BRAND, SJK Nr. 742 S. 6: III B b; BlZR 33 Nr. 127; auch Übertragung leicht verkäuflicher Wertpapiere, allenfalls eines Schuldbriefs, kann als übliche "Zahlungsweise" in Betracht kommen; vgl. BGE 74 III 58 /59). Einer blossen Abtretung oder Anweisung zahlungshalber ist dagegen der Charakter eines "üblichen Zahlungsmittels" in aller Regel nicht zuzuschreiben. Es handelt sich jedenfalls bei den vorliegenden Abtretungen - abgesehen vom Sicherungszweck, der die Beklagte nicht hinderte, weiterhin jederzeit eigentliche Zahlung zu verlangen, sobald der Schuldner dazu in der Lage wäre - um ein blosses Surrogat, dem nicht die Bedeutung einer präsenten Zahlung zukommen sollte. Dieser mit Rücksicht auf das Ausstehen eines beträchtlichen Schuldbetrages gewählte Notbehelf BGE 85 III 193 S. 201 war keine ordentliche, gewöhnliche, im Möbelgrosshandel allgemein übliche oder unter den beteiligten Kaufleuten, also zwischen der Beklagten und Schilliger, in Brauch gekommene Zahlungsweise. Schon die frühere Abtretung eines Guthabens aus dem Depotkonto bei der Finanz AG hatte zur Sicherstellung einer stark angewachsenen Schuldsumme gedient, und nur ein geringer Bruchteil der Verbindlichkeiten war aus abgetretenen Kundenguthaben gedeckt worden. Die von der Vorinstanz eingeholten Gutachten rechtfertigen keine abweichende Beurteilung. Was für Bräuche im Möbelhandel bestehen, ist zwar Tatfrage. Ob jedoch die Abtretung von Forderungen, wie sie nach Veranlassung und Häufigkeit in diesem Gewerbekreise vorkommt, als "übliches Zahlungsmittel" im Sinne von Art. 287 Abs. 1 Ziff. 2 SchKG zu gelten habe, ist eine vom Bundesgericht frei zu überprüfende Rechtsfrage, nämlich Frage der Auslegung der erwähnten gesetzlichen Norm und der Beurteilung tatsächlicher Vorgänge unter dem Gesichtspunkt dieser Rechtsnorm, also "rechtliche Beurteilung einer Tatsache" im Sinne von Art. 43 Abs. 4 OG (vgl. im übrigen zur Abgrenzung von Tat- und Rechtsfragen bei Anwendung von Art. 287 Abs. 1 Ziff. 2 SchKG : BRAND, SJK Nr. 743 S. 7: IV, 2 c, cc). Nun führt der Gutachter F. Moser aus, es seien weniger als 20 Prozent der Möbeldetaillisten, die ihre Teilzahlungs-Kaufverträge ganz oder teilweise als Zahlungsmittel an die Möbelfabrikanten zedieren. Ein Zürcher Grossunternehmen des Möbelhandels habe erklärt, es nehme solche Zessionen als Zahlungsmittel nur in Ausnahmefällen an, "wenn es absolut nicht anders gehe". Bisweilen verlange der Grosshändler oder Fabrikant die Abtretung von Teilzahlungs-Kaufverträgen, wenn ihm "die Zahlungsfähigkeit des Verkäufers nicht genügt bzw. keine Sicherheit vorhanden ist", somit als Notbehelf. Die Möbelfabrikanten und die Grossisten des Möbelhandels seien für die Übernahme von Abzahlungskaufverträgen "an Stelle von Bargeld" BGE 85 III 193 S. 202 nicht vorbereitet. Auch im Betrieb der beklagten Firma dürfte es sich nach Ansicht des Experten "um Ausnahmen und Einzelfälle handelt", ansonst sie gezwungen wäre, sich bessere Deckungen und Sicherheiten geben zu lassen. Nach alldem können Abtretungen von Kundenguthaben keineswegs als "übliches Zahlungsmittel" zur Begleichung von Lieferantenschulden des Kleinhändlers gelten. Ohne sich auf andere tatsächliche Unterlagen zu stützen, hält freilich der andere Gutachter, J. Ströbel, dafür, "dass diese Zahlungsart ohne weiteres heute schon als üblich betrachtet werden darf". Seine Ausführungen - sein Hinweis auf die schwierige Lage der mittleren Möbelhändler, die danach trachten, die immer häufiger werdenden Abzahlungsverträge mit ihren Kunden "in flüssige Mittel umzuwandeln" - beruhen jedoch auf einer Verkennung des Begriffs des (der Barzahlung gleichzuachtenden) "üblichen Zahlungsmittels". Daraus, dass sich "schon heute verschiedene Möbelhändler vorstellen", der Fabrikant müsse (statt mit Hilfe einer Bank oder eines andern Finanzierungsinstitutes bar bezahlt zu werden) zu solcher Abwicklung der Verbindlichkeiten Hand bieten, und es seien "die Anfänge bereits in einem beachtlichen Umfange gemacht worden", folgt nichts, was es rechtfertigen würde, die Abtretung von Guthaben aus Abzahlungsverträgen des Charakters der "Tilgung einer Geldschuld auf andere Weise als durch Barschaft oder anderweitige übliche Zahlungsmittel" zu entkleiden und diese Rechtshandlung speziell im Verhältnis zwischen dem Fabrikanten oder Grosshändler und dem Kleinhändler des Möbelgewerbes als Zahlungsmittel, das üblicherweise wie Barschaft angenommen würde, zu betrachten. Vollends stellte die Abtretung des Guthabens aus dem Depotkonto bei der Finanz AG, woraus nur allenfalls in Zukunft irgendwelche nicht zum voraus bestimmbare Beträge frei werden konnten, keine präsente Zahlung dar.</w:t>
      </w:r>
    </w:p>
    <w:p>
      <w:r>
        <w:rPr>
          <w:b/>
        </w:rPr>
        <w:t>E. 5</w:t>
      </w:r>
    </w:p>
    <w:p>
      <w:r>
        <w:t>Der Entlastungbeweis nach Art. 287 Abs. 2 SchKG ist nicht erbracht.... BGE 85 III 193 S. 203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