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137</w:t>
      </w:r>
    </w:p>
    <w:p>
      <w:r>
        <w:t>Bundesgericht (BGE), 1959-01-01, DE</w:t>
      </w:r>
    </w:p>
    <w:p>
      <w:r>
        <w:rPr>
          <w:b/>
        </w:rPr>
        <w:t xml:space="preserve">Quelle: </w:t>
      </w:r>
      <w:r>
        <w:t>https://mcp.opencaselaw.ch/entscheid/bge_BGE_85_III_137</w:t>
      </w:r>
    </w:p>
    <w:p>
      <w:r>
        <w:t>FR: ATF 85 III 137</w:t>
      </w:r>
    </w:p>
    <w:p>
      <w:r>
        <w:t>IT: DTF 85 III 137</w:t>
      </w:r>
    </w:p>
    <w:p>
      <w:pPr>
        <w:pStyle w:val="Heading2"/>
      </w:pPr>
      <w:r>
        <w:t>Regeste</w:t>
      </w:r>
    </w:p>
    <w:p>
      <w:r>
        <w:t>Regeste 1. Verfügung des Betreibungsamtes im Hinblick auf die Art. 157 und 158 SchKG betreffend den Abschluss einer Grundpfandbetreibung, die erst nach rechtskräftiger Verwertung der Liegenschaft durch nachträglichen Rechtsvorschlag gehemmt worden und in der Folgezeit durch Fristablauf erloschen war. Beschwerderecht, Art. 17 ff. SchKG. Nichtigkeit? (Erw. 1). 2. Pfandausfallschein (Art. 158 SchKG, Art. 120 Satz 1 VZG) oder einfache Bescheinigung (Art. 120 Satz 2 VZG)? Voraussetzungen. Wirkungen (Erw. 2).</w:t>
      </w:r>
    </w:p>
    <w:p>
      <w:r>
        <w:t>Regeste 1. Décision de l'Office des poursuites prise en vue de l'application des art. 157 et 158 LP et concernant la clôture d'une poursuite en réalisation de gage immobilier qui n'a été suspendue par une opposition tardive qu'après la réalisation définitive de l'immeuble et qui est devenue caduque dans la suite par l'expiration des délais légaux. Droit de porter plainte, art. 17 et suiv. LP. Nullité? (consid. 1). 2. Acte d'insuffisance de gage (art. 158 LP et 120, 1re phrase, ORI) ou simple certificat (art. 120, 2e phrase, ORI)? Conditions. Effets (consid. 2).</w:t>
      </w:r>
    </w:p>
    <w:p>
      <w:r>
        <w:t>Regesto 1. Decisione dell'ufficio d'esecuzione emanata in vista dell'applicazione degli art. 157 e 158 LEF e concernente la chiusura di una esecuzione in via di realizzazione di un pegno immobiliare, che è stata sospesa da un'opposizione tardiva soltanto dopo la realizzazione definitiva dell'immobile e che in seguito è divenuta caduca con lo spirare dei termini legali. Diritto di presentare reclamo, art. 17 sgg. LEF. Nullità? (consid. 1). 2. Atto di insufficienza di pegno (art. 158 LEF e 120, prima frase, RFF) o semplice dichiarazione (art. 120, seconda frase, RFF)? Premesse. Effetti (consid. 2).</w:t>
      </w:r>
    </w:p>
    <w:p>
      <w:pPr>
        <w:pStyle w:val="Heading2"/>
      </w:pPr>
      <w:r>
        <w:t>Erwägungen</w:t>
      </w:r>
    </w:p>
    <w:p>
      <w:r>
        <w:rPr>
          <w:b/>
        </w:rPr>
        <w:t>E. 1</w:t>
      </w:r>
    </w:p>
    <w:p>
      <w:r>
        <w:t>Der Ansicht des Rekurrenten, der Brief des Betreibungsamtes vom 5. Mai 1959 an Raggenbass enthalte gar keine der Beschwerde unterliegende Verfügung, ist nicht beizutreten. Einmal hat das Betreibungsamt ausdrücklich "verfügt" und zudem auf die Beschwerdefrist hingewiesen. Sodann enthält der Brief auch sachlich eine betreibungsamtliche Anordnung, indem er genau festlegt, es werde nun zur Verteilung gemäss einem aufzustellenden Verteilungsplan geschritten mit anschliessender Ausstellung von Pfandausfallscheinen zu Handen der Gläubiger. Nach dem eindeutigen Wortlaut des Briefes wäre der Betriebene, hätte er die Beschwerdefrist unbenützt verstreichen lassen, Gefahr gelaufen, die vom Betreibungsamt beschlossenen Amtshandlungen nicht mehr grundsätzlich, sondern allenfalls nur noch wegen der Art ihrer Ausführung anfechten zu können. Der Rekurrent ist freilich der Auffassung, das Betreibungsamt BGE 85 III 137 S. 141 habe nicht in dieser Weise die vorgesehenen Verteilungs- und Abschlussmassnahmen vorerst einmal grundsätzlich festlegen dürfen, um sie erst später, wenn die grundsätzliche Verfügung in Rechtskraft getreten sein würde, auszuführen. Unter diesem Gesichtspunkt ist die im Briefe vom 5. Mai 1959 enthaltene Vor-Verfügung jedoch nicht angefochten worden. Die Beschwerde des Betriebenen bezog sich nur auf Ziff. 2 der Verfügung, und zwar beanstandete er sie lediglich um ihres sachlichen Inhaltes willen. Der heutige Rekurrent aber führte, als ihm jener Brief zur Kenntnis gelangte, nicht auch seinerseits Beschwerde, sondern begnügte sich damit, der Beschwerde des Betriebenen entgegenzutreten. Die in Frage stehende Verfügung kann auch nicht etwa als nichtig betrachtet werden. Freilich wird gewöhnlich zur Verteilung nach Art. 157/158 SchKG geschritten, ohne dass diese Massnahmen vorerst in einer grundsätzlichen Verfügung festgelegt würden. Der eigenartige Stand der Betreibung Nr. 3755 - die nachträglich erloschen war, während die am 13. Mai 1955 durchgeführte Verwertung nicht mehr dem Widerruf unterlag - mochte aber ein solches Vorgehen (um der Vermeidung unnützen Arbeits- und Kostenaufwandes willen) nahelegen. Die auf praktischen Erwägungen beruhende Verfügung verdient daher den Beteiligten gegenüber, denen sie zur Kenntnis gelangte, massgebend zu bleiben, soweit sie nicht binnen gesetzlicher Frist angefochten wurde.</w:t>
      </w:r>
    </w:p>
    <w:p>
      <w:r>
        <w:rPr>
          <w:b/>
        </w:rPr>
        <w:t>E. 2</w:t>
      </w:r>
    </w:p>
    <w:p>
      <w:r>
        <w:t>Der Pfandausfallschein ( Art. 158 SchKG ) hat eine doppelte rechtliche Bedeutung: Er verurkundet die Tatsache, dass eine Pfandforderung im Pfandverwertungsverfahren ganz oder teilweise ungedeckt geblieben ist (Abs. 1). Ferner gibt er dem Gläubiger das Recht, die Betreibung für die ungedeckt gebliebene Forderung in das übrige Vermögen des Schuldners fortzusetzen (sofern nicht, wie bei einer Gült oder einer andern Grundlast, blosse Pfandhaftung besteht; vgl. auch Art. 121 VZG ) und zwar, wenn es binnen Monatsfrist geschieht, ohne BGE 85 III 137 S. 142 neuen Zahlungsbefehl ( Art. 158 Abs. 2 SchKG ). Nach Art. 120 Satz 1 VZG erhalten auch die nicht betreibenden Pfandgläubiger, sofern ihre Forderungen fällig sind, einen Pfandausfallschein. Für die nicht fälligen Pfandforderungen wird nach Satz 2 daselbst eine einfache den Ausfall verurkundende Bescheinigung ausgestellt, die kein Recht auf Zugriff auf das übrige Vermögen des Schuldners ohne (neuen) Zahlungsbefehl gibt. Da der Zahlungsbefehl in der Betreibung Nr. 3755 sich nachträglich als nicht vollstreckbar erwies und die Betreibung erlosch, ist fraglich, ob überhaupt irgendwelchen Gläubigern, deren Pfandforderungen nach Ausweis des Lastenverzeichnisses zur Zeit der Versteigerung der Liegenschaft fällig waren, Pfandausfallscheine auszustellen seien. Diese dem Bundesgericht mit dem vorliegenden Rekurs nicht unterbreitete Frage kann jedoch auf sich beruhen bleiben. Jedenfalls der Rekurrent Hagist hat nicht Anspruch auf einen Pfandausfallschein, dessen Ausstellung er mit dem zweiten Rekursantrag erstrebt. Aus zwei Gründen: a) Nachdem der Rekurrent den dem Betriebenen nachträglich bewilligten Rechtsvorschlag nicht zu beseitigen vermocht hat, und nachdem seine Betreibung mit Vorbehalt der Abrechnung über den Erlös aus der nicht mehr rückgängig zu machenden Verwertung erloschen ist, hat er nicht mehr als betreibender Pfandgläubiger im Sinne von Art. 158 SchKG zu gelten. b) Er kann sich auch nicht auf Art. 120 VZG berufen, wonach nicht betreibende Pfandgläubiger ebenfalls Pfandausfallscheine erhalten, sofern ihre Forderungen fällig sind (gemeint ist im Zeitpunkt der Verwertung, wie sich aus dem Formular VZG Nr. 21 ergibt). Hinsichtlich der Fälligkeit kann nicht mehr auf den seinerzeit unbestritten gebliebenen Zahlungsbefehl und auch nicht auf das in diesem Punkt unangefochten gebliebene Lastenverzeichnis abgestellt werden. Vielmehr steht der vom Rekurrenten nicht beseitigte nachträgliche Rechtsvorschlag der Annahme BGE 85 III 137 S. 143 einer im massgebenden Zeitpunkt fällig gewesenen Forderung entgegen, zumal die Rechtsöffnung gerade deshalb verweigert worden ist, weil die Forderung bei Anhebung der Betreibung (und nach den Feststellungen des Rechtsöffnungsentscheides auch im Zeitpunkt der Verwertung) nicht fällig war. Unter diesen Umständen hat sich der Rekurrent mit einer einfachen Bescheinigung über das Ergebnis der Pfandverwertung in bezug auf seine Forderung im Sinne von Art. 120 Satz 2 VZG zu begnügen. Ja es wird nicht einmal der ganze Text des Formulars VZG Nr. 21 stehen gelassen werden können, da angesichts des aufrecht gebliebenen Rechtsvorschlages keine "vom Schuldner nicht bestrittene Forderung" vorliegt.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