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121</w:t>
      </w:r>
    </w:p>
    <w:p>
      <w:r>
        <w:t>Bundesgericht (BGE), 1959-11-11, FR</w:t>
      </w:r>
    </w:p>
    <w:p>
      <w:r>
        <w:rPr>
          <w:b/>
        </w:rPr>
        <w:t xml:space="preserve">Quelle: </w:t>
      </w:r>
      <w:r>
        <w:t>https://mcp.opencaselaw.ch/entscheid/bge_BGE_85_III_121</w:t>
      </w:r>
    </w:p>
    <w:p>
      <w:r>
        <w:t>FR: ATF 85 III 121</w:t>
      </w:r>
    </w:p>
    <w:p>
      <w:r>
        <w:t>IT: DTF 85 III 121</w:t>
      </w:r>
    </w:p>
    <w:p>
      <w:pPr>
        <w:pStyle w:val="Heading2"/>
      </w:pPr>
      <w:r>
        <w:t>Regeste</w:t>
      </w:r>
    </w:p>
    <w:p>
      <w:r>
        <w:t>Regeste Art. 66 Abs. 1 OG. Befugnisse der kantonalen Behörde, deren Entscheid aufgehoben und an die der Fall zu neuer Beurteilung zurückgewiesen wurde.</w:t>
      </w:r>
    </w:p>
    <w:p>
      <w:r>
        <w:t>Regeste Art. 66 al. 1 OJ. Pouvoirs de l'autorité cantonale dont le jugement est annulé et à laquelle la cause est renvoyée pour qu'elle statue à nouveau.</w:t>
      </w:r>
    </w:p>
    <w:p>
      <w:r>
        <w:t>Regesto Art. 66 cp. 1 OG. Poteri dell'autorità cantonale la cui sentenza è annullata e alla quale è rinviata la causa per nuovo giudizio.</w:t>
      </w:r>
    </w:p>
    <w:p>
      <w:pPr>
        <w:pStyle w:val="Heading2"/>
      </w:pPr>
      <w:r>
        <w:t>Erwägungen</w:t>
      </w:r>
    </w:p>
    <w:p>
      <w:r>
        <w:rPr>
          <w:b/>
        </w:rPr>
        <w:t>E. 1</w:t>
      </w:r>
    </w:p>
    <w:p>
      <w:r>
        <w:t>La recourante soutient, à titre principal, que l'autorité fribourgeoise devait se borner à revoir le point resté litigieux devant le Tribunal fédéral. En effet, ditelle, en statuant à nouveau sur l'ensemble du différend, la juridiction cantonale s'est saisie d'une cause qu'elle avait déjà jugée; en outre, elle a fait une reformatio in pejus au détriment de la recourante, puisque, pour celle-ci, la nouvelle décision est moins favorable que l'ancienne. Lorsque le Tribunal fédéral annule un jugement et renvoie la cause à la juridiction cantonale pour qu'elle statue à nouveau, le litige est reporté devant cette dernière autorité dans l'état où il se trouvait avant la décision annulée. Sans doute, l'autorité cantonale doit fonder sa nouvelle décision sur les considérants de droit de l'arrêt du Tribunal fédéral (art. 81 et 66 al. 1 OJ); elle est tenue d'exécuter strictement l'arrêt fédéral et de rendre une décision qui lui soit en tous points conforme (RO 83 II 550). Mais, dans la mesure où le Tribunal fédéral ne s'est pas prononcé, la juridiction cantonale statue à nouveau librement, sans être liée par sa première décision. Elle peut, par exemple, se fonder sur une argumentation juridique différente et, si les règles de la procédure le lui permettent, tenir compte de moyens nouveaux. Il lui est même loisible de prononcer un nouveau jugement moins favorable au recourant que la décision annulée (cf., pour le droit allemand, STEIN/JONAS/SCHÖNKE, Kommentar zur Zivilprozessordnung, 17e éd., ad § 565, rem. II; BAUMBACH/LAUTERBACH, Zivilprozessordnung, 24e éd., ad § 565, rem. 2; ROSENBERG, Lehrbuch des deutschen Zivilprozessrechts, 7e éd., p. 687 et 688). En l'espèce, l'autorité fribourgeoise s'est conformée à l'arrêt du Tribunal fédéral: elle a constaté la mesure dans laquelle le débiteur était nourri gratuitement par son employeur et elle a revu en conséquence le montant compté dans le minimum vital pour l'entretien des époux BGE 85 III 121 S. 124 U. Comme sa décision avait été annulée non seulement sur ce point mais dans son ensemble, elle pouvait, pour le reste, statuer librement sur les points en litige, sans être liée par son premier jugement. En particulier, elle n'a pas violé le droit fédéral en tenant compte de faits nouveaux, qu'elle ignorait lorsqu'elle a rendu sa décision du 7 septembre 1959 (cf. RO 73 III 33). Le moyen principal du recours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