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11</w:t>
      </w:r>
    </w:p>
    <w:p>
      <w:r>
        <w:t>Bundesgericht (BGE), 1959-01-01, IT</w:t>
      </w:r>
    </w:p>
    <w:p>
      <w:r>
        <w:rPr>
          <w:b/>
        </w:rPr>
        <w:t xml:space="preserve">Quelle: </w:t>
      </w:r>
      <w:r>
        <w:t>https://mcp.opencaselaw.ch/entscheid/bge_BGE_85_III_11</w:t>
      </w:r>
    </w:p>
    <w:p>
      <w:r>
        <w:t>FR: ATF 85 III 11</w:t>
      </w:r>
    </w:p>
    <w:p>
      <w:r>
        <w:t>IT: DTF 85 III 11</w:t>
      </w:r>
    </w:p>
    <w:p>
      <w:pPr>
        <w:pStyle w:val="Heading2"/>
      </w:pPr>
      <w:r>
        <w:t>Regeste</w:t>
      </w:r>
    </w:p>
    <w:p>
      <w:r>
        <w:t>Regeste Beschwerde gegen eine Verfügung des um Rechtshilfe ersuchten Betreibungsamtes. Unterstehen das ersuchende und das ersuchte Amt derselben Aufsichtsbehörde, so darf diese das Eintreten auf die Beschwerde nicht deshalb ablehnen, weil sie gegen das ersuchende statt gegen das ersuchte Amt geführt wurde (das allein, auf Grund des Rechtshilfegesuches, zur Ankündigung der Pfändung und zur Durchführung der Verwertung binnen den Fristen des Art. 122 SchKG zuständig war).</w:t>
      </w:r>
    </w:p>
    <w:p>
      <w:r>
        <w:t>Regeste Plainte dirigée contre une décision de l'office des poursuites requis de prêter son assistance. Si l'office requérant et celui qui est requis relèvent de la même autorité de surveillance, celle-ci ne peut refuser d'entrer en matière par le motif que la plainte est dirigée contre l'office requérant, alors que seul le second office, en raison de la requête, était en droit de communiquer l'avis de saisie et de passer à la réalisation dans les délais de l'art. 122 LP.</w:t>
      </w:r>
    </w:p>
    <w:p>
      <w:r>
        <w:t>Regesto Il reclamo diretto contro una decisione presa su rogatoria non può essere dichiarato irricevibile, quando l'ufficio rogante e quello rogato dipendono dalla medesima autorità di vigilanza, per il motivo che è stato proposto contro l'ufficio rogante anzichè contro quello rogato, al quale solo incombeva, in base alla rogatoria, comunicare l'avviso di pignoramento e intraprendere le operazioni di vendita nei termini dell'art. 122 LEF.</w:t>
      </w:r>
    </w:p>
    <w:p>
      <w:pPr>
        <w:pStyle w:val="Heading2"/>
      </w:pPr>
      <w:r>
        <w:t>Erwägungen</w:t>
      </w:r>
    </w:p>
    <w:p>
      <w:r>
        <w:rPr>
          <w:b/>
        </w:rPr>
        <w:t>E. 1</w:t>
      </w:r>
    </w:p>
    <w:p>
      <w:r>
        <w:t>L'autorità ticinese di vigilanza non è entrata nel merito del reclamo di Annibale Breetz perchè era stato BGE 85 III 11 S. 13 proposto contro l'ufficio rogante anzichè contro quello rogato, al quale incombeva esclusivamente, in base alla rogatoria, comunicare l'avviso d'incanto e intraprendere le operazioni di vendita nei termini dell'art. 122 LEF. Come il ricorrente giustamente pretende, tale decisione di irricevibilità fu errata. La dottrina si esprime bensì nel senso che, quando un reclamo verte non già sull'ammissibilità di una decisione presa su rogatoria ma sul modo in cui la decisione medesima è stata eseguita, il reclamo deve essere proposto davanti all'autorità di vigilanza dalla quale dipende l'ufficio (JAEGER, Commentario LEF, num. 5 ad art. 17). In concreto, sia l'ufficio rogato, sia quello rogante dipendevano però dalla medesima autorità di vigilanza. Così stando le cose, il reclamo di Annibale Breetz avrebbe dovuto essere esaminato nel merito, tanto più che era allegato un diniego di giustizia. In verità, la questione dell'autorità di vigilanza competente a ricevere un reclamo ha senso solo quando l'ufficio rogato e l'ufficio rogante dipendono da autorità di vigilanza diverse. Che così sia, risulta anche dalla giurisprudenza la quale ha sempre ricercato, in questi casi, quale autorità di vigilanza fosse competente (cfr. RU 67 III 106; Archivio VII pag. 133). BLUMENSTEIN (Handbuch des schweizerischen Betreibungsrechtes, pag. 84/85) dice - è vero - che se il reclamo ha per oggetto il modo in cui la rogatoria fu eseguita, soltanto l'ufficio rogato sarebbe "passivamente legittimato". Ma tale opinione, che è ripresa nella decisione impugnata, non può comunque essere condivisa quando con il reclamo sia allegato un diniego di giustizia e l'autorità di vigilanza adita sia in ogni modo competente a decidere i reclami diretti sia contro l'ufficio rogato sia contro quello rogante.</w:t>
      </w:r>
    </w:p>
    <w:p>
      <w:r>
        <w:rPr>
          <w:b/>
        </w:rPr>
        <w:t>E. 2</w:t>
      </w:r>
    </w:p>
    <w:p>
      <w:r>
        <w:t>..... Dispositiv La Camera di esecuzione e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