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83</w:t>
      </w:r>
    </w:p>
    <w:p>
      <w:r>
        <w:t>Bundesgericht (BGE), 1958-01-01, FR</w:t>
      </w:r>
    </w:p>
    <w:p>
      <w:r>
        <w:rPr>
          <w:b/>
        </w:rPr>
        <w:t xml:space="preserve">Quelle: </w:t>
      </w:r>
      <w:r>
        <w:t>https://mcp.opencaselaw.ch/entscheid/bge_BGE_84_I_83</w:t>
      </w:r>
    </w:p>
    <w:p>
      <w:r>
        <w:t>FR: ATF 84 I 83</w:t>
      </w:r>
    </w:p>
    <w:p>
      <w:r>
        <w:t>IT: DTF 84 I 83</w:t>
      </w:r>
    </w:p>
    <w:p>
      <w:pPr>
        <w:pStyle w:val="Heading2"/>
      </w:pPr>
      <w:r>
        <w:t>Regeste</w:t>
      </w:r>
    </w:p>
    <w:p>
      <w:r>
        <w:t>Regeste 1. In Handelsregistersachen bestimmt sich die Sachlegitimation nach dem Bundesrecht (Erw. 1). 2. Beschwerdelegitimation eines Dritten, der unter Berufung auf das vom Handelsregister zu wahrende öffentliche Interesse nach Art. 32 HRV gegen eine Eintragung Einspruch erhebt (Erw. 2).</w:t>
      </w:r>
    </w:p>
    <w:p>
      <w:r>
        <w:t>Regeste 1. En matière de registre du commerce, la qualité pour agir quant au fond relève du droit fédéral (consid. 1). 2. Qualité pour recourir d'un tiers qui, en vertu de l'art. 32 ORC, forme opposition à une inscription en se fondant sur l'intérêt public que le registre du commerce est destiné à protéger (consid. 2).</w:t>
      </w:r>
    </w:p>
    <w:p>
      <w:r>
        <w:t>Regesto 1. In materia di registro di commercio è il diritto federale che determina chi ha veste per agire nel merito. 2. Qualità per ricorrere di un terzo che fa opposizione a un'iscrizione a norma dell'art. 32 ORC, fondandosi sull'interesse pubblico che il registro di commercio è destinato a proteggere.</w:t>
      </w:r>
    </w:p>
    <w:p>
      <w:pPr>
        <w:pStyle w:val="Heading2"/>
      </w:pPr>
      <w:r>
        <w:t>Erwägungen</w:t>
      </w:r>
    </w:p>
    <w:p>
      <w:r>
        <w:rPr>
          <w:b/>
        </w:rPr>
        <w:t>E. 1</w:t>
      </w:r>
    </w:p>
    <w:p>
      <w:r>
        <w:t>La recourante nie en premier lieu la "validité de BGE 84 I 83 S. 85 l'opposition de l'Aéro-Club", en soutenant qu'il n'avait pas vocation pour porter plainte devant l'autorité de surveillance contre la décision prise le 21 février 1957 par le préposé au registre du commerce. En la forme, l'Aéro-Club a qualité pour défendre devant le Tribunal fédéral, puisqu'il a été admis à agir comme partie dans l'instance cantonale (cf. art. 103 al. 1 OJ; RO 60 I 33 consid. 1, 81 I 397 consid. 1). Mais, ce que la recourante conteste, c'est qu'il ait, quant au fond, qualité pour s'opposer à l'inscription de la raison sociale qu'elle a choisie. Ce moyen ne peut être soumis au Tribunal fédéral que si, en matière de registre du commerce, la qualité pour agir quant au fond ressortit au droit fédéral. Cette condition est remplie. Le registre du commerce, en effet, est soumis essentiellement à la législation fédérale. Les cantons ne peuvent régler que le statut de leurs fonctionnaires affectés à la tenue et à la surveillance du registre du commerce, ainsi que certaines question d'organisation qui leur sont réservées (cf. art. 927 CO). Dès lors, la qualité pour agir relève du droit fédéral. Il en est ainsi, en particulier, de la qualité des tiers pour former opposition à une inscription, ainsi que le Tribunal fédéral l'a déjà jugé implicitement (RO 60 I 33 consid. 2, 81 I 397 consid. 1; cf. également RO 62 I 167, 75 I 382 consid. 1).</w:t>
      </w:r>
    </w:p>
    <w:p>
      <w:r>
        <w:rPr>
          <w:b/>
        </w:rPr>
        <w:t>E. 2</w:t>
      </w:r>
    </w:p>
    <w:p>
      <w:r>
        <w:t>Aux termes de l'art. 32 ORC, les tiers qui forment une opposition de droit privé à une inscription doivent être renvoyés à agir devant le juge; si l'inscription n'est pas encore opérée, le préposé impartit aux opposants un délai suffisant pour obtenir du juge une ordonnance provisionnelle. L'opposition de droit privé donne ainsi lieu à un procès civil dans lequel l'opposant intervient comme partie. Mais il se peut également que des tiers fondent leur opposition sur l'intérêt public que le registre du commerce est destiné à protéger et dont le préposé doit tenir compte d'office. Dans ce cas, cependant, ils n'ont pas, en principe, qualité de parties. En effet, l'opposition n'est pas une BGE 84 I 83 S. 86 action populaire ouverte à chaque citoyen dans l'intérêt général. Le soin d'assurer le bien public et de faire respecter les principes du droit public objectif incombe aux autorités compétentes et non au particulier. Il leur est certes loisible d'examiner les atteintes à l'intérêt public que leur signalent des citoyens, mais elles n'en ont pas l'obligation parce que le particulier aurait le droit de les mettre en oeuvre. Si donc, contrairement à l'avis du dénonciateur, l'autorité considère que l'intérêt général n'a point été atteint et si elle en informe le particulier en rejetant sa requête, celui-ci n'a pas, en principe, qualité pour recourir contre cette décision (RO 60 I 33, 62 I 167, 73 II 181). Il n'en est autrement que dans les cas où le contraire est prévu par la loi ou en découle nécessairement. C'est ainsi que l'art. 57 al. 2 ORC permet aux tiers de requérir l'inscription d'une personne ou d'une société tenue de figurer dans le registre du commerce et la jurisprudence en déduit, à juste titre, qu'ils ont alors qualité pour recourir contre la décision de l'autorité administrative (cf. STAMPA, Sammlung von Entscheiden in Handelsregistersachen, no 5; HIS, Commentaire du CO, ad art. 932 rem. 88). On ne se trouve pas dans un tel cas lorsqu'il s'agit de savoir si une raison de commerce satisfait aux conditions des art. 944 et suiv. CO et 38 et suiv. ORC. Certes, l'art. 32 al. 1 ORC dispose que, si des tiers forment opposition à une inscription déjà opérée, le préposé les renvoie au juge, à moins qu'ils n'invoquent des dispositions que les autorités du registre du commerce doivent appliquer d'office. Mais ces derniers termes signifient simplement que, rendu attentif à des prescriptions impératives tendantes à la protection de l'intérêt public, le préposé vérifie d'office si elles ont été observées lors de l'inscription critiquée. Il s'agit donc d'une règle analogue à l'art. 940 al. 1 CO, qui prescrit au préposé de contrôler d'office si les conditions légales requises pour l'inscription sont remplies. Dès lors, les opposants. n'ont pas vocation pour recourir contre la décision du préposé. Il en est de même, à plus forte raison, lorsque BGE 84 I 83 S. 87 l'opposition est dirigée contre une inscription non encore opérée. Dans ce cas, en effet, l'art. 32 al. 2 ORC défère au juge la solution du litige, ajoutant que le préposé ne peut de toute façon procéder à l'inscription que si les autres conditions requises sont remplies. Cette disposition renvoie donc simplement à l'art. 940 al. 1 CO dans la mesure où il s'agit du respect de prescriptions qui sont inspirées par le souci de l'intérêt public. Dès lors, lorsqu'un tiers prétend qu'une raison de commerce, déjà ou non encore inscrite, n'est pas conforme aux art. 944 et suiv. CO ou 38 et suiv. ORC, il n'est point recevable à recourir contre la décision par laquelle le préposé ordonne ou maintient l'inscription. En revanche, il a le droit d'attaquer devant le juge une inscription indue par laquelle il est lésé (art. 956 al. 2 CO; RO 73 II 181) et, tant qu'elle n'est pas encore opérée, il peut l'empêcher, conformément à l'art. 32 al. 2 ORC, en formant une opposition de droit privé et en obtenant du juge une ordonnance provisionnelle dans le délai qui lui aura été imparti à cet effet par le préposé.</w:t>
      </w:r>
    </w:p>
    <w:p>
      <w:r>
        <w:rPr>
          <w:b/>
        </w:rPr>
        <w:t>E. 3</w:t>
      </w:r>
    </w:p>
    <w:p>
      <w:r>
        <w:t>En l'espèce, l'inscription n'était pas encore opérée lorsque l'Aéro-Club a formé opposition. Dans la mesure où cette opposition était fondée sur des motifs d'intérêt public, elle avait pour seul effet de signaler au préposé des dispositions qu'il devait de toute façon appliquer d'office en vertu des art. 32 al. 2 i.f. ORC et 940 al. 1 CO. L'Aéro-Club n'avait donc pas qualité pour recourir et c'est à tort que le Département du commerce et de l'industrie s'est saisi du recours et a statué au fond. Dans cette mesure, sa décision doit être annulée. Si, en revanche, l'opposition de l'Aéro-Club tendait à protéger ses droits le préposé devait, en vertu de l'art. 32 al. 2 ORC, lui impartir un délai suffisant pour obtenir du juge une ordonnance provisionnelle. Toutefois, comme les déclarations de l'opposant n'étaient pas très claires sur ce point, c'est avec raison que le préposé l'a invité à préciser s'il entendait former une opposition de droit privé. Les effets de cette communication ayant été valablement suspendus BGE 84 I 83 S. 88 par l'autorité cantonale, l'Aéro-Club devra maintenant indiquer s'il entend former une opposition selon l'art. 32 al. 2 ORC et, dans l'affirmative, il incombera au préposé de lui impartir, conformément à cette disposition légale, un délai pour obtenir une ordonnance provisionnelle du juge.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