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71</w:t>
      </w:r>
    </w:p>
    <w:p>
      <w:r>
        <w:t>Bundesgericht (BGE), 1958-01-01, DE</w:t>
      </w:r>
    </w:p>
    <w:p>
      <w:r>
        <w:rPr>
          <w:b/>
        </w:rPr>
        <w:t xml:space="preserve">Quelle: </w:t>
      </w:r>
      <w:r>
        <w:t>https://mcp.opencaselaw.ch/entscheid/bge_BGE_84_I_71</w:t>
      </w:r>
    </w:p>
    <w:p>
      <w:r>
        <w:t>FR: ATF 84 I 71</w:t>
      </w:r>
    </w:p>
    <w:p>
      <w:r>
        <w:t>IT: DTF 84 I 71</w:t>
      </w:r>
    </w:p>
    <w:p>
      <w:pPr>
        <w:pStyle w:val="Heading2"/>
      </w:pPr>
      <w:r>
        <w:t>Regeste</w:t>
      </w:r>
    </w:p>
    <w:p>
      <w:r>
        <w:t>Regeste Wehrsteuer: 1. Abschreibungen, die nicht dem Ausgleich in der Berechnungsperiode eingetretener Wertverminderungen dienen, können bei der Berechnung des steuerbaren Reingewinns nicht abgezogen werden. Massgebend ist der Wert, den der Abschreibungsgegenstand für das Unternehmen, nach dessen besonderen Verhältnissen, im Zeitpunkte des Rechnungsabschlusses hat. 2. Abschreibung auf Aktien der Schweizerischen Käseunion AG</w:t>
      </w:r>
    </w:p>
    <w:p>
      <w:r>
        <w:t>Regeste Impôt pour la défense nationale: 1. Les amortissements qui ne servent pas à compenser les moinsvalues survenues pendant la période de calcul ne peuvent être déduits du bénéfice net imposable. Est déterminante la valeur que l'objet amorti a pour l'entreprise - compte tenu des conditions particulières où elle se trouve - au moment de la clôture de l'exercice. 2. Amortissement opéré sur les actions de l'Union suisse du commerce du fromage SA</w:t>
      </w:r>
    </w:p>
    <w:p>
      <w:r>
        <w:t>Regesto Imposta per la difesa nazionale: 1. Gli ammortamenti che non servono a compensare le dimmuzioni di valore verificatesi durante il periodo di computo non possono essere dedotti dall'utile netto imponibile. Determinante è il valore che l'oggetto ammortizzato riveste per l'azienda - tenuto conto delle condizioni particolari in cui essa si trova - al momento della chiusura dell'esercizio. 2. Ammortamento effettuato su azioni dell'Unione svizzera del commercio del formaggio SA.</w:t>
      </w:r>
    </w:p>
    <w:p>
      <w:pPr>
        <w:pStyle w:val="Heading2"/>
      </w:pPr>
      <w:r>
        <w:t>Erwägungen</w:t>
      </w:r>
    </w:p>
    <w:p>
      <w:r>
        <w:rPr>
          <w:b/>
        </w:rPr>
        <w:t>E. 1</w:t>
      </w:r>
    </w:p>
    <w:p>
      <w:r>
        <w:t>Nach Art. 49 Abs. 1 lit. c WStB sind Abschreibungen, die nicht geschäftsmässig begründet sind, in die Berechnung des steuerbaren Gewinnes einzubeziehen. Geschäftsmässig begründet ist die Abschreibung, die zum Ausgleich einer während der Berechnungsperiode eingetretenen Verminderung des Wertes eines Bilanzobjektes vorgenommen wird ( BGE 70 I 329 , BGE 74 I 199 ). In Betracht kommt der Wert, welchen der Abschreibungsgegenstand für das Unternehmen, nach dessen besonderen Verhältnissen, im Zeitpunkte des Rechnungsabschlusses hat. Eine Abschreibung ist in dem Betrage zu berücksichtigen, um den der Gegenstand für das Geschäft im Verlaufe der Berechnungsperiode weniger wert geworden ist ( BGE 62 I 149 f.; Urteil Maeder vom 21. Oktober 1949, nicht publiziert; BOSSHARDT, Das Problem der Abschreibung bei der zürcherischen Einkommenssteuer, ASA 12, 102).</w:t>
      </w:r>
    </w:p>
    <w:p>
      <w:r>
        <w:rPr>
          <w:b/>
        </w:rPr>
        <w:t>E. 2</w:t>
      </w:r>
    </w:p>
    <w:p>
      <w:r>
        <w:t>Nach der bestehenden Käsemarktordnung können den Grosshandel mit Käsesorten, welche die Produzenten an die Schweizerische Käseunion AG abzuliefern haben, nur Aktionäre dieser Gesellschaft treiben. Der Besitz eines BGE 84 I 71 S. 75 Kontingentes, welches zur Teilnahme an diesem Handel berechtigt, ist untrennbar mit der Mitgliedschaft bei der Käseunion verbunden. Darüber hinaus ist das Kontingent einer Handelsfirma um so grösser, je höher die Aktienbeteiligung ist. Diese stellt für die berechtigte Firma nicht bloss eine Kapitalanlage, sondern eine Existenzgrundlage dar. Ob die Titel eine Dividende abwerfen, ist für die Unionsfirmen von untergeordneter Bedeutung. Die Käseunion bezweckt in erster Linie die Ordnung des Käsemarktes; gewiss sucht sie dabei auch einen Gewinn, der an die Aktionäre ausgeschüttet werden kann, zu erzielen, doch tritt dieses Streben hinter jenem Zweck zurück, wie sich insbesondere aus Art. 2, 26 und 27 Ziff. 2 der Statuten ergibt. Dementsprechend steht für die beteiligte Handelsfirma der Wert im Vordergrund, den die mit dem Aktienbesitz verknüpfte Kontingentsberechtigung als ständige Grundlage ihres Betriebes hat. Dieser Wert wird sich nicht oder jedenfalls nicht wesentlich verändern, solange die Monopolordnung auf dem Käsemarkt bestehen bleibt. Die Beschwerdeführerin beruft sich zur Begründung der Abschreibung, um die es geht, vor allem darauf, dass die kantonale Wertschriftenbewertungsstelle den Steuerwert der Käseunion-Aktie für den 1. Januar 1953 von 90 auf 75% des Nominalwertes herabgesetzt habe. Dieses Amt hat gestützt auf die Wegleitung der eidg. Steuerverwaltung für die Bewertung nicht kotierter Wertpapiere das Mittel aus dem der Bilanz der Käseunion vom 31. Juli 1952 entnommenen Vermögenswert von Fr. 622.-- (Aktienkapital + Reserven, geteilt durch die Zahl der Aktien) und dem Ertragswert errechnet. Weil die Aktie im Geschäftsjahre 1951/52 keine Dividende abgeworfen hatte, wurde der Ertragswert mit Null eingesetzt. Der ermittelte Durchschnittsbetrag von Fr. 311.-- wurde auf Vorschlag der Vertreter der Käseunion auf Fr. 375.-- (75% des Nominalwertes) erhöht. Indessen kann diese für die Vermögensbesteuerung vorgenommene Bewertung für die Beurteilung der geschäftsmässigen Begründetheit der streitigen BGE 84 I 71 S. 76 Abschreibung schon deshalb nicht massgebend sein, weil die zeitweilige Dividendenlosigkeit des Titels für den Betrieb der Beschwerdeführerin von sekundärer Bedeutung ist. Für das Geschäftsjahr 1952/53 hat die Käseunion wieder eine Dividende (3%) ausgerichtet. Demgemäss hat die Wertschriftenbewertungsstelle den Steuerwert der Aktie für den 1. Januar 1954 auf rund Fr. 450.-- festgesetzt (Vermögenswert Fr. 612.-- + Ertragswert Fr. 250.--: 2). Die von ihr ermittelten Vermögenswerte stehen wesentlich über dem Betrage von Fr. 408.-- (81,6% des Nennwertes), zu dem die Beschwerdeführerin die Aktie am Ende des Geschäftsjahres 1951/52 bilanziert hat. Unter diesen Umständen liegt die Annahme nahe, dass eine Wertverminderung, welche eine Abschreibung unter den Buchwert von Fr. 408.-- als geschäftsmässig begründet erscheinen liesse, in der Berechnungsperiode (1. Juli 1952 -30. Juni 1954) nicht eingetreten ist. Die Beschwerdeführerin wendet vergeblich ein, sie selber habe "seit einer Reihe von Jahren" keinen Gewinn aus dem Käsehandel erzielt. Der mit der Käseunion-Aktie verbundene Monopolanteil hat seiner Natur nach für die berechtigte Firma einen konstanten, von den Schwankungen ihres Handelsgewinnes grundsätzlich unabhängigen Wert. Übrigens präzisiert die Beschwerdeführerin nicht, seit wann sie mit dem Käsehandel nichts mehr verdient habe. Auch der Hinweis auf die zivilrechtlichen Bilanzvorschriften hilft der Beschwerdeführerin nicht. Namentlich kann sìe für ihren Standpunkt nichts aus Art. 667 Abs. 2 OR ableiten, wonach die Aktiengesellschaft Wertpapiere ohne Kurswert höchstens zum Kostenpreis, unter Berücksichtigung laufender Erträge sowie einer allfälligen Wertverminderung, einzusetzen hat; denn es bestehen keine Anhaltspunkte dafür, dass die Käseunion-Aktien für das Geschäft der Beschwerdeführerin während der Berechnungsperiode an Wert eingebüsst haben, und das ist entscheidend. BGE 84 I 71 S. 77 Dass die Vorinstanz die Steuerleistung offensichtlich unrichtig berechnet habe ( Art. 104 Abs. 2 OG ), ist umsoweniger anzunehmen, als die Beschwerdeführerin im Falle des Austritts aus der Organisation des Käsegrosshandels auf Ende der Berechnungsperiode berechtigt gewesen wäre, die Aktien zum inneren Werte abzugeben (Art. 10 lit. b der Käsekonvention), so dass sie offenbar sogar bei Aufgabe der Geschäftstätigkeit bilanzmässig keinen Verlust auf diesem Aktivum erlitten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