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56</w:t>
      </w:r>
    </w:p>
    <w:p>
      <w:r>
        <w:t>Bundesgericht (BGE), 1927-09-26, DE</w:t>
      </w:r>
    </w:p>
    <w:p>
      <w:r>
        <w:rPr>
          <w:b/>
        </w:rPr>
        <w:t xml:space="preserve">Quelle: </w:t>
      </w:r>
      <w:r>
        <w:t>https://mcp.opencaselaw.ch/entscheid/bge_BGE_84_I_56</w:t>
      </w:r>
    </w:p>
    <w:p>
      <w:r>
        <w:t>FR: ATF 84 I 56</w:t>
      </w:r>
    </w:p>
    <w:p>
      <w:r>
        <w:t>IT: DTF 84 I 56</w:t>
      </w:r>
    </w:p>
    <w:p>
      <w:pPr>
        <w:pStyle w:val="Heading2"/>
      </w:pPr>
      <w:r>
        <w:t>Regeste</w:t>
      </w:r>
    </w:p>
    <w:p>
      <w:r>
        <w:t>Regeste Art. 1 lit. e und Art. 4 Ziff. 1 des Genfer Abkommens zur Vollstreckung ausländischer Schiedssprüche vom 26. September 1927. 1. Vorbehalt der öffentlichen Ordnung des Vollstreckungsstaates. Vollstreckbarkeit eines Schiedsspruchs der Chambre Arbitrale de Paris in einem Rechtsstreit zwischen einer französischen Firma, die einem der Chambre Arbitrale angeschlossenen Verband angehört, und einer schweizerischen Firma. Bedeutung der vorbehaltlosen Einlassung vor einem Schiedsgericht, dessen Zusammensetzung zu Beanstandung Anlass geben könnte (Erw. 4). 2. Formelle Anforderungen an die mit dem Vollstreckungsbegehren vorzulegende Abschrift eines in Frankreich ergangenen Schiedsspruchs (Erw. 5).</w:t>
      </w:r>
    </w:p>
    <w:p>
      <w:r>
        <w:t>Regeste Art. 1 lit. e et art. 4 ch. 1 de la Convention de Genève pour l'exécution des sentences arbitrales étrangères, du 26 septembre 1927. 1. Réserve relative à l'ordre public de l'Etat où l'exécution doit avoir lieu. Caractère exécutoire d'une sentence de la Chambre arbitrale de Paris dans un litige entre une maison française appartenant à une association affiliée à la Chambre arbitrale et une maison suisse. Conséquence du fait que l'une des parties a procédé, sans faire de réserves, devant un tribunal arbitral dont la composition pouvait donner lieu à contestation (consid. 4). 2. Conditions de forme que doit remplir la copie d'une sentence arbitrale rendue en France, copie produite avec la demande d'exequatur (consid. 5).</w:t>
      </w:r>
    </w:p>
    <w:p>
      <w:r>
        <w:t>Regesto Art. 1 lett. e, e art. 4 num. 1 della Convenzione di Ginevra per l'esecuzione delle sentenze arbitrali estere, del 26 settembre 1927. 1. Riserva dell'ordine pubblico del paese dove l'esecuzione della sentenza è stata invocata. Esecutività di una sentenza della Chambre arbitrale de Paris in una controversia sorta tra una ditta francese appartenente a un'associazione affiliata alla Chambre arbitrale e una ditta svizzera. Conseguenze del fatto che una parte ha compiuto, senza formulare riserve, atti davanti a un tribunale arbitrale la cui costituzione poteva dare luogo a contestazioni (consid. 4). 2. Condizioni formali cui deve soddisfare la copia di un giudizio arbitrale prolato in Francia prodotta con la domanda di exequatur (consid. 5).</w:t>
      </w:r>
    </w:p>
    <w:p>
      <w:pPr>
        <w:pStyle w:val="Heading2"/>
      </w:pPr>
      <w:r>
        <w:t>Erwägungen</w:t>
      </w:r>
    </w:p>
    <w:p>
      <w:r>
        <w:rPr>
          <w:b/>
        </w:rPr>
        <w:t>E. 4</w:t>
      </w:r>
    </w:p>
    <w:p>
      <w:r>
        <w:t>Nach Art. 1 lit. e des Genfer Abkommens darf die Vollstreckung eines ausländischen Schiedsspruchs in der Schweiz verweigert werden, wenn sie der öffentlichen Ordnung der Schweiz widersprechen würde. a) (Verweisung auf BGE 84 I 46 Erw. 4 und 5). b) Nach dem Reglement der Chambre Arbitrale de Paris vom 2. April 1952 (wie schon nach demjenigen vom 25. März 1926, abgedruckt bei SCHÖNKE, Die Schiedsgerichtsbarkeit in Zivil- und Handelssachen in Europa Bd. II S. 300 ff.) können grundsätzlich nur solche Personen zu Schiedsrichtern ernannt werden, die in der vom Comité der Chambre Arbitrale (auf Vorschlag der ihr angeschlossenen Verbände) aufgestellten Schiedsrichterliste eingetragen sind und die französische Staatsangehörigkeit besitzen (Art. 5 und 6; vgl. immerhin Art. 8, wonach der Präsident der Chambre Arbitrale auch andere Personen als Schiedsrichter ernennen oder zulassen kann). Eine derartige Beschränkung auf eine geschlossene Richterliste ist, wie das Bundesgericht im Urteil vom heutigen Tag i.S. Ligna c. Baumgartner &amp; Co. SA ( BGE 84 I 50 Erw.6a) festgestellt hat, nicht nur im englisch-amerikanischen Rechtskreis üblich, sondern auch in Europa verbreitet (vgl. die bei SCHÖNKE a.a.O. I 493 ff. abgedruckten Schiedsgerichtsordnungen der Internationalen Handelskammer, der Internationalen Filmkammer und der Internationalen Foederation der Spediteurorganisationen, ferner die bei MAYENFISCH, La clause attributive de juridiction et la BGE 84 I 56 S. 60 clause arbitrale dans les contrats de vente de caractère international, Diss. Fribourg 1957, S. 92 ff. wiedergegebenen Schiedsgerichtsordnungen osteuropäischer Handelskammern). Dieses Listensystem mag neben Vorteilen auch Nachteile haben, verletzt jedoch als solches keinesfalls das einheimische Rechtsgefühl in unerträglicher Weise. Das Reglement der Chambre Arbitrale sieht zwei Instanzen von Schiedsgerichten vor: die untere, die nur einen Urteilsentwurf erlässt, besteht aus drei Schiedsrichtern, von denen jede Partei einen und der Präsident der Chambre Arbitrale den Obmann ernennt (Art. 13); die obere ist zusammengesetzt aus 5 Schiedsrichtern, die von Fall zu Fall vom Präsidenten der Chambre Arbitrale ernannt werden (Art. 17). Es fragt sich, ob diese Ernennung des Obmanns des untern und aller 5 Mitglieder des obern Schiedsgerichts durch den Präsidenten der Chambre Arbitrale die Unabhängigkeit der Schiedsgerichte als beeinträchtigt erscheinen lässt. Die Chambre Arbitrale de Paris ist, nach den Statuten vom 26. Mai 1955, eine Vereinigung von 42 nationalen und regionalen Berufsverbänden des Handels und der Industrie verschiedener Branchen und hat als Hauptzweck die rasche, einfache und billige Erledigung der ihr unterbreiteten Handelsstreitigkeiten. Ihr Präsident wird vom Comité gewählt, das sich aus den Präsidenten der Sektionen zusammensetzt, welche aus den Delegierten der angeschlossenen Verbände gebildet werden. Die Beschwerdeführerin, die Mitglied eines dieser Verbände ist, hatte somit im Gegensatz zum Beschwerdegegner, der es nicht ist, einen gewissen, wenn auch zweifellos nur ganz geringen und indirekten Einfluss auf die vom Präsidenten der Chambre Arbitrale getroffene Wahl der Schiedsrichter, die den vorliegenden Schiedsspruch gefällt haben. In seiner Rechtsprechung zu Art. 61 BV hat das Bundesgericht offen gelassen, ob ein so geringfügiger Einfluss der einen Prozesspartei auf die Bestellung eines Schiedsgerichts dessen Unabhängigkeit derart beeinträchtige, dass die Vollstreckung seiner Entscheide ausgeschlossen sei ( BGE 72 I 89 Erw. 2 a, BGE 84 I 56 S. 61 BGE 78 I 114 ). Diese Frage ist jedenfalls für Schiedsgerichte von Handelskammern, Börsen usw. zu verneinen, da diese Institutionen nicht wie die Wirtschaftsverbände, auf deren Schiedsgerichte sich jene Rechtsprechung bezieht, die Interessen einer bestimmten, meist kartellmässig organisierten Berufsgruppe vertreten. Mag auch die paritätische Wahl der Schiedsrichter durch die Parteien oder ihre Ernennung durch ein staatliches Gericht, wie sie das Bundesgericht für Verbandsschiedsgerichte empfohlen hat, im allgemeinen den Vorzug verdienen, so kann doch in der Bestellung durch eine Handelskammer, Börse usw. oder durch deren Vorsitzenden, zumal bei der im Gebiete der Urteilsvollstreckung gebotenen Zurückhaltung in der Anwendung der ordre public-Klausel ( BGE 78 II 251 , BGE 81 I 145 ), kein Verstoss gegen die schweizerische öffentliche Ordnung erblickt werden (vgl. auch BGE 84 I 51 Erw. 6 c). c) Wäre die Bestellung des Schiedsgerichts aus dem Gesichtspunkt der schweizerischen öffentlichen Ordnung zu beanstanden, so würde sich die Frage erheben, ob der Beschwerdegegner das Recht zur Berufung auf diesen Mangel nicht dadurch verwirkt hat, dass er die obere Schiedskommission selber angerufen und am Verfahren vor ihr teilgenommen hat, ohne ihre Zusammensetzung zu beanstanden. Das Bundesgericht hat freilich in seiner Rechtsprechung zu Art. 61 BV wiederholt ausgesprochen, dass auch eine Partei, die sich auf das Schiedsgerichtsverfahren vorbehaltlos einlasse, noch bei der Vollstreckung des Schiedsspruchs geltend machen könne, dem Schiedsgericht habe die erforderliche Unabhängigkeit gefehlt ( BGE 80 I 343 und dort zitierte frühere Urteile). Ob an dieser Rechtsprechung, gegen die gewichtige Einwendungen erhoben worden sind (GULDENER, Die Gerichtsbarkeit der Wirtschaftsverbände, ZSR 1952 S. 251 a ff.), festzuhalten sei, ist fraglich. Selbst wenn sie aber für Schiedssprüche von Verbandsschiedsgerichten über Streitigkeiten zwischen dem Verband und einem Mitglied beizubehalten wäre, könnte sie kaum auf Schiedssprüche wie den vorliegenden BGE 84 I 56 S. 62 ausgedehnt werden. Es ist mit dem allgemeinen Grundsatz von Treu und Glauben, der auch im Prozessrecht gilt (vgl. BGE 83 II 348 ff.), nicht wohl vereinbar, dass ein Grosskaufmann eine Schiedsklausel abschliesst und sich auf das Verfahren vor dem vereinbarten ausländischen Schiedsgericht einer Handelskammer oder Börse vorbehaltlos einlässt, um dann im Falle des Unterliegens die Zusammensetzung des Schiedsgerichts zu beanstanden unter Berufung auf Grundsätze des schweizerischen Rechts, die, wie hier, offenbar weder der Gegenpartei noch den Mitgliedern des Schiedsgerichts bekannt waren.</w:t>
      </w:r>
    </w:p>
    <w:p>
      <w:r>
        <w:rPr>
          <w:b/>
        </w:rPr>
        <w:t>E. 5</w:t>
      </w:r>
    </w:p>
    <w:p>
      <w:r>
        <w:t>Nach Art. 4 Ziff. 1 des Genfer Abkommens hat die Partei, welche die Vollstreckung des Schiedsspruchs verlangt, dessen Urschrift vorzulegen oder eine Abschrift, die nach der Gesetzgebung des Landes, in dem er ergangen ist, alle für ihre Beweiskraft erforderlichen Bedingungen erfüllt. Dass die von der Beschwerdeführerin vorgelegte Urkunde diesen Anforderungen genüge, wird vom Bezirksgerichtspräsidenten und vom Beschwerdegegner zu Unrecht bezweifelt. Es handelt sich um die auf Ersuchen der Beschwerdeführerin erstellte, mit der Unterschrift des Gerichtsschreibers und dem Amtsstempel des Gerichts versehene Abschrift einer Verfügung des (Vize-) Präsidenten des Tribunal civil de première instance du Département de la Seine. Diese Verfügung stellt fest, dass der (darin samt Begründung vollständig wiedergegebene) Schiedsspruch gemäss Art. 1020 CPC am 27. März 1956 bei der Gerichtskanzlei hinterlegt worden ist, und erklärt den Schiedsspruch für vollstreckbar; dazu wird in der Abschrift bestätigt, dass das Original dieser Verfügung vom Präsidenten und Gerichtsschreiber unterzeichnet und am 5. Juli 1956 unter Erhebung einer Gebühr von FFr. 12'052.-- registriert worden ist. Diese Abschrift entspricht den Anforderungen des französischen Rechts. Nach diesem ist die Urschrift des Schiedsspruchs bei der Kanzlei des Gerichts, dessen Präsident zum Erlass der Exequaturverfügung zuständig ist, zu hinterlegen und bleibt bei dessen Akten, und der BGE 84 I 56 S. 63 Gerichtsschreiber erstellt, wie von andern Urteilen, die erforderlichen Ausfertigungen, davon eine erste, "grosse" genannte und mit der Exekutionsformel versehene für die obsiegende Partei (vgl. GARSONNET et CEZAR-BRU, Traité de procédure III Nr. 685 und VIII Nr. 299, 302, 303; DALLOZ, Répertoire de procédure civile, 1955, unter "Expédition et Grosse" Nr. 56). Diese Ausfertigungen müssen mit der Unterschrift des Gerichtsschreibers und mit dem Gerichtsstempel versehen seien (DALLOZ a.a.O. Nr. 27). Die Angabe des Datums, an welchem die Ausfertigung (Abschrift) erstellt wurde, ist dagegen nicht erforderlich; es genügt, dass daraus der Zeitpunkt der Hinterlegung des Schiedsspruchs und der Registrierung der Exequaturverfügung ersichtlich ist. Die vorliegende Urkunde erfüllt somit alle nach dem französischen Recht für ihre Beweiskraft erforderlichen Bedingungen (Art. 4 Ziff. 1 des Genfer Abkommens).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