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217</w:t>
      </w:r>
    </w:p>
    <w:p>
      <w:r>
        <w:t>Bundesgericht (BGE), 1958-11-26, DE</w:t>
      </w:r>
    </w:p>
    <w:p>
      <w:r>
        <w:rPr>
          <w:b/>
        </w:rPr>
        <w:t xml:space="preserve">Quelle: </w:t>
      </w:r>
      <w:r>
        <w:t>https://mcp.opencaselaw.ch/entscheid/bge_BGE_84_I_217</w:t>
      </w:r>
    </w:p>
    <w:p>
      <w:r>
        <w:t>FR: ATF 84 I 217</w:t>
      </w:r>
    </w:p>
    <w:p>
      <w:r>
        <w:t>IT: DTF 84 I 217</w:t>
      </w:r>
    </w:p>
    <w:p>
      <w:pPr>
        <w:pStyle w:val="Heading2"/>
      </w:pPr>
      <w:r>
        <w:t>Regeste</w:t>
      </w:r>
    </w:p>
    <w:p>
      <w:r>
        <w:t>Regeste Staatsrechtliche Beschwerde wegen Art. 4 BV. Zulässigkeit der Beschwerde gegen einen Beweisbeschluss in einer Zivilrechtsstreitigkeit, die der Berufung an das Bundesgericht unterliegt? Kantonales Zivilprozessrecht; Willkür. Kann der Beklagte im Vaterschaftsprozess verpflichtet werden, sich einer anthropologisch-erbbiologischen Expertise zu unterziehen?</w:t>
      </w:r>
    </w:p>
    <w:p>
      <w:r>
        <w:t>Regeste Recours de droit public pour violation de l'art. 4 Cst. Recevabilité du recours contre une ordonnance sur preuves dans une contestation civile où la voie du recours en réforme au Tribunal fédéral est ouverte? Procédure civile cantonale; arbitraire. Le défendeur à une action en recherche de paternité peut-il être astreint à se soumettre à une expertise en matière d'anthropologie et de biologie héréditaire?</w:t>
      </w:r>
    </w:p>
    <w:p>
      <w:r>
        <w:t>Regesto Ricorso di diritto pubblico per violazione dell'art. 4 CF. Ammissibilità del ricorso diretto contro un decreto sulle prove in una contestazione civile per la quale è aperta la via del ricorso per riforma al Tribunale federale? Procedura civile cantonale; arbitrio. Può il convenuto in un processo di paternità essere obbligato a sottoporsi a una perizia in materia d'antropologia e di biologia ereditaria?</w:t>
      </w:r>
    </w:p>
    <w:p>
      <w:pPr>
        <w:pStyle w:val="Heading2"/>
      </w:pPr>
      <w:r>
        <w:t>Erwägungen</w:t>
      </w:r>
    </w:p>
    <w:p>
      <w:r>
        <w:rPr>
          <w:b/>
        </w:rPr>
        <w:t>E. 1</w:t>
      </w:r>
    </w:p>
    <w:p>
      <w:r>
        <w:t>Der angefochtene Beweisbeschluss ist ein Zwischenentscheid in einem hängigen Zivilprozessverfahren. Gegen einen solchen Zwischenentscheid ist die staatsrechtliche Beschwerde wegen Verletzung von Art. 4 BV nur zulässig, wenn er für den Betroffenen einen nicht wiedergutzumachenden Nachteil zur Folge hat ( Art. 87 OG ). Das ist bei einem Zwischenentscheid dann der Fall, wenn er eine nach kantonalem Zivilprozessrecht zu entscheidende Frage zum Gegenstand hat und die Streitsache durch Berufung an das Bundesgericht weitergezogen werden kann, da der Betroffene die Verletzung kantonalen Zivilprozessrechts im Berufungsverfahren nicht geltend machen kann und sie daher unter Umständen überhaupt nicht geltend machen könnte ( BGE 28 I 39 , BGE 77 I 226 /7). Der vorliegende Vaterschaftsprozess kann, da der Streitwert Fr. 4000.-- übersteigt, mit der Berufung an das Bundesgericht weitergezogen werden. Mit der staatsrechtlichen Beschwerde macht der Beschwerdeführer geltend, er sei nach dem kantonalen Zivilprozessrecht nicht verpflichtet, sich der angeordneten Expertise zu unterziehen. Im Berufungsverfahren könnte er diese Frage nicht aufwerfen. Anderseits wäre er, wenn er - nach Durchführung der Expertise - vor Obergericht zwar obsiegen, auf Berufung der Gegenpartei hin aber vor Bundesgericht aus Gründen des materiellen Rechts unterliegen würde, nicht mehr in der Lage, wegen der von ihm behaupteten Verletzung kantonalen Prozessrechts staatsrechtliche Beschwerde BGE 84 I 217 S. 220 zu führen. Er muss hiezu daher jetzt Gelegenheit haben.</w:t>
      </w:r>
    </w:p>
    <w:p>
      <w:r>
        <w:rPr>
          <w:b/>
        </w:rPr>
        <w:t>E. 2</w:t>
      </w:r>
    </w:p>
    <w:p>
      <w:r>
        <w:t>Der Beschwerdeführer macht geltend, die vom Obergericht gemäss Art. 184 Abs. 2 ZPO von Amtes wegen angeordnete anthropologisch-erbbiologische Expertise sei schon deshalb willkürlich, weil sie nicht "bereits erhobene Tatumstände" im Sinne von Art. 158 Abs. 2 ZPO zum Gegenstand habe. Die Rüge ist unbegründet. Die Expertise bezieht sich auf die Möglichkeit der Vaterschaft des Beschwerdeführers, die bereits aus der nicht streitigen Beiwohnung in der kritischen Zeit sowie aus dem Ergebnis der Blutuntersuchung folgt. Die Expertin soll prüfen, ob die auf Grund des bisherigen Beweisergebnisses bestehende Wahrscheinlichkeit der Vaterschaft des Beschwerdeführers nach der Ähnlichkeit zwischen ihm und dem Kind nur gering oder im Gegenteil so gross ist, dass seine Vaterschaft als praktisch erwiesen anzusehen ist. Es kann somit zwanglos und jedenfalls ohne Willkür angenommen werden, die Expertise beziehe sich auf "bereits erhobenen Tatumstände" im Sinne von Art. 158 Abs. 2 ZPO .</w:t>
      </w:r>
    </w:p>
    <w:p>
      <w:r>
        <w:rPr>
          <w:b/>
        </w:rPr>
        <w:t>E. 3</w:t>
      </w:r>
    </w:p>
    <w:p>
      <w:r>
        <w:t>Der Beschwerdeführer macht weiter geltend, die Anordnung einer solchen Expertise entbehre der gesetzlichen Grundlage; die ZPO, welche die Pflichten des Beklagten abschliessend aufzähle, biete keine Handhabe, um ihn zu einer "Leibesvisitation" und allen damit verbundenen Unannehmlichkeiten zu zwingen, wie sich aus BGE 82 I 234 ff. ergebe. Indessen lassen sich die in diesem Urteil angestellten Erwägungen schon deshalb nicht auf den vorliegenden Fall übertragen, weil es nicht wie dort um die Pflichten eines Zeugen, sondern um diejenigen einer Prozesspartei geht. Ausserdem stand dort ein (freilich verhältnismässig harmloser) Eingriff in die körperliche Unversehrtheit in Frage, während sich der Beschwerdeführer lediglich von einem Experten besichtigen und photographieren zu lassen braucht. Was von ihm verlangt wird, geht also nicht wesentlich über das persönliche BGE 84 I 217 S. 221 Erscheinen hinaus, zu dem er bei der in Art. 106 ff. ZPO vorgesehenen Parteibefragung verhalten werden kann. Jedenfalls kann von einem Eingriff in seine körperliche Unversehrtheit nicht die Rede sein. Soweit aber ein solcher Eingriff nicht in Frage steht, gelten für die Auslegung zivilprozessualer Vorschriften, wie bereits in BGE 82 I 239 Erw. 4 ausgeführt worden ist, die allgemeinen Regeln der Gesetzesauslegung. Dabei ist, nach einem allgemeinen Grundsatz, im Zweifel derjenigen Auslegung der Vorzug zu geben, die der Verwirklichung des materiellen Rechtes besser dient (vgl. GULDENER, Schweiz. Zivilprozessrecht II. Auflage S. 49). Aus diesem Gesichtspunkt kann es aber nicht zweifelhaft sein, dass die Annahme, der Beschwerdeführer habe sich der angeordneten anthropologisch-erbbiologischen Expertise zu unterziehen, auf einer mit vernünftigen Gründen vertretbaren Auslegung der Vorschriften der ZPO über die Parteibefragung und den Beweis durch Sachverständige beruht und keine willkürliche, mit dem Sinn dieser Vorschriften unvereinbare Lückenausfüllung darstellt.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