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 187</w:t>
      </w:r>
    </w:p>
    <w:p>
      <w:r>
        <w:t>Bundesgericht (BGE), 1958-01-01, FR</w:t>
      </w:r>
    </w:p>
    <w:p>
      <w:r>
        <w:rPr>
          <w:b/>
        </w:rPr>
        <w:t xml:space="preserve">Quelle: </w:t>
      </w:r>
      <w:r>
        <w:t>https://mcp.opencaselaw.ch/entscheid/bge_BGE_84_I_187</w:t>
      </w:r>
    </w:p>
    <w:p>
      <w:r>
        <w:t>FR: ATF 84 I 187</w:t>
      </w:r>
    </w:p>
    <w:p>
      <w:r>
        <w:t>IT: DTF 84 I 187</w:t>
      </w:r>
    </w:p>
    <w:p>
      <w:pPr>
        <w:pStyle w:val="Heading2"/>
      </w:pPr>
      <w:r>
        <w:t>Regeste</w:t>
      </w:r>
    </w:p>
    <w:p>
      <w:r>
        <w:t>Regeste Verpflichtung zur Eintragung im Handelsregister. Begriff der auf dauernden Erwerb gerichteten Tätigkeit (Art. 52 Abs. 3 HRV).</w:t>
      </w:r>
    </w:p>
    <w:p>
      <w:r>
        <w:t>Regeste Assujettissement à l'inscription au registre du commerce. Notion de l'activité exercée en vue d'un revenu régulier (art. 52 al. 3 ORC).</w:t>
      </w:r>
    </w:p>
    <w:p>
      <w:r>
        <w:t>Regesto Obbligo d'iscrizione nel registro di commercio. Nozione dell'attività diretta a conseguire durevolmente un guadagno (art. 52 cp. 3 ORC).</w:t>
      </w:r>
    </w:p>
    <w:p>
      <w:pPr>
        <w:pStyle w:val="Heading2"/>
      </w:pPr>
      <w:r>
        <w:t>Erwägungen</w:t>
      </w:r>
    </w:p>
    <w:p>
      <w:r>
        <w:rPr>
          <w:b/>
        </w:rPr>
        <w:t>E. 1</w:t>
      </w:r>
    </w:p>
    <w:p>
      <w:r>
        <w:t>Les art. 934 CO et 52 al. 1 ORC prescrivent l'inscription de "celui qui fait le commerce, exploite une fabrique ou exerce en la forme commerciale une autre industrie". BGE 84 I 187 S. 189 De telles entreprises consistent, d'après l'art. 52 al. 3 ORC, dans "une activité économique indépendante exercée en vue d'un revenu régulier". D'autre part, on entend par les "autres industries" exercées en la forme commerciale celles qui, sans être des entreprises commerciales ou industrielles, doivent cependant être exploitées commercialement et tenir une comptabilité régulière, en raison de leur nature et de leur importance (art. 53 litt. C ORC). Ces entreprises ne sont tenues à l'inscription que si elles atteignent une recette brute annuelle de 50 000 fr. (art. 54 ORC). Pour juger si ces conditions sont remplies, il faut, d'après la jurisprudence constante du Tribunal fédéral, se reporter au moment de la sommation (RO 76 I 155 et les arrêts cités, RO 81 I 79 et 157). En l'espèce, la tournée théâtrale organisée par le recourant n'était pas encore terminée le 7 juillet 1958. Il est constant qu'il s'agissait là d'une activité indépendante exercée en vue d'un revenu, selon l'art. 52 al. 3 ORC. Quant à la recette brute, elle a été largement supérieure à 50 000 fr. D'autre part, comme il ne s'agissait ni d'un commerce ni d'une fabrique, les conditions exigées par l'art. 53 litt. C ORC doivent être réalisées. Or, avec raison, le recourant ne conteste pas que ce soit le cas. Il est évident, en effet, qu'étant donné sa nature et son importance, l'exploitation de Plomb impliquait de nombreuses relations d'affaires, de sorte qu'il devait la mener commercialement et tenir une comptabilité. Dans ces conditions, il ne reste plus qu'à juger si le recourant exerçait son activité en vue d'un revenu régulier, au sens de l'art. 52 al. 3 ORC.</w:t>
      </w:r>
    </w:p>
    <w:p>
      <w:r>
        <w:rPr>
          <w:b/>
        </w:rPr>
        <w:t>E. 2</w:t>
      </w:r>
    </w:p>
    <w:p>
      <w:r>
        <w:t>a) Les codes de commerce allemand et français connaissent, comme le droit suisse, la notion de l'entreprise. Selon la jurisprudence et la doctrine de ces deux pays, une activité occasionnelle, ayant pour objet la réalisation de quelques affaires limitées, ne constitue pas une entreprise; celle-ci n'existe que si l'on se trouve en présence d'un ensemble continu d'affaires du même genre, traitées dans l'intention d'en tirer un revenu durable (cf. COHN, Das Handels- und Genossenschaftsregister, 3e éd., p. 33; STAUB's BGE 84 I 187 S. 190 Kommentar zum Handelsgesetzbuch, 12e/13e éd., ad § 1, rem. 6 à 8; WIELAND, Handelsrecht, I, p. 91 à 93; Kommentar zum Handelsgesetzbuch herausgegeben von Mitgliedern des Reichsgerichts, 2e éd., ad § 1, rem. 5 et 6; SCHLEGELBERGER, Handelsgesetzbuch, 3e éd., ad § 1, rem. 23; cf. également LYON-CAEN/RENAULT, Traité de droit commercial, 5e éd., I, no 132; ESCARRA, Cours de droit commercial, no 91). La définition que l'art. 52 al. 3 ORC donne de l'entreprise est manifestement inspirée de cette conception. Or celle-ci ne signifie nullement que l'exploitation doive exister pendant un temps indéterminé ou, du moins, durant une période relativement longue. Les auteurs allemands (voir les références ci-dessus) soulignent au contraire qu'une activité de courte durée constitue une entreprise si elle est organisée en vue d'un revenu régulier, c'est-à-dire d'un revenu provenant de la répétition d'affaires semblables; c'est ainsi que l'exploitation d'un commerce pendant une foire est une entreprise. De même, la doctrine française définit l'entreprise comme la répétition professionnelle d'actes de commerce reposant sur une organisation préétablie (LYON-CAEN/RENAULT, loc.cit.; ESCARRA, loc.cit.). D'après la conception sur laquelle est fondé l'art. 52 al. 3 ORC, la durée n'est donc pas un élément indépendant. Elle ne sert qu'à déterminer la nature de l'activité. Si la notion de l'entreprise suppose une certaine durée, c'est seulement parce que celle-ci est impliquée par la répétition des actes de commerce et l'exigence d'une organisation. L'interprétation historique de l'art. 52 al. 3 ORC montre donc que l'entreprise est une activité organisée, consistant dans la répétition, envisagée d'emblée, d'affaires identiques et exercée en vue d'un revenu. Il importe peu que cette activité soit limitée dans le temps, sauf si elle s'étend sur une période si brève que la répétition organisée d'affaires identiques est exclue. b) La ratio legis confirme cette conclusion. Le but du registre du commerce est de faire connaître, dans l'intérêt des tiers et du public en général, le titulaire de l'entreprise BGE 84 I 187 S. 191 et les faits de portée juridique qui le concernent; en particulier, l'inscription doit permettre de déterminer clairement le régime des responsabilités (RO 75 I 78, 80 I 274 consid. 1). Or cet intérêt du public dépend non pas de la durée de l'activité mais de sa nature. Même si elle n'est exercée que pendant quelque temps, une activité peut entraîner des relations d'affaires multiples et des engagements importants, de sorte que le public doit pouvoir disposer, au sujet de cette exploitation, des renseignements que fournit une inscription au registre du commerce. c) C'est également dans ce sens que se prononce la doctrine suisse (HIS, Kommentar zum OR, ad art. 934, rem. 18). De même, le Tribunal fédéral a déjà jugé que l'exploitation d'un café pendant quelques mois constituait une entreprise (RO 62 I 109 consid. 1). Le recourant invoque en vain l'arrêt Oberwalliser Kreisspital (RO 80 I 383), qui se borne à paraphraser la définition de l'art. 52 al. 3 ORC. La question de la durée n'était du reste pas en cause dans ce cas.</w:t>
      </w:r>
    </w:p>
    <w:p>
      <w:r>
        <w:rPr>
          <w:b/>
        </w:rPr>
        <w:t>E. 3</w:t>
      </w:r>
    </w:p>
    <w:p>
      <w:r>
        <w:t>On doit, dans ces conditions, admettre que le recourant exploitait, à l'époque de la sommation, une entreprise selon l'art. 52 al. 3 ORC. Il a organisé une tournée de spectacles d'après un plan préétabli et en vue d'un revenu. Son activité consistait dans la répétition, envisagée d'emblée, d'affaires identiques. Sans doute la tournée n'a-t-elle duré qu'un peu moins de trois mois. Mais cela est suffisant pour que Plomb ait exercé son activité en vue d'un revenu régulier au sens de l'art. 52 al. 3 ORC. Dès lors, le recourant doit s'inscrire au registre du commerce en raison de son entreprise de spectacles et il n'est pas nécessaire de juger si ses autres activités, telles qu'elles sont exposées par l'intimé, justifient également cette mesure.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