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84</w:t>
      </w:r>
    </w:p>
    <w:p>
      <w:r>
        <w:t>Bundesgericht (BGE), 1958-01-01, FR</w:t>
      </w:r>
    </w:p>
    <w:p>
      <w:r>
        <w:rPr>
          <w:b/>
        </w:rPr>
        <w:t xml:space="preserve">Quelle: </w:t>
      </w:r>
      <w:r>
        <w:t>https://mcp.opencaselaw.ch/entscheid/bge_BGE_84_IV_84</w:t>
      </w:r>
    </w:p>
    <w:p>
      <w:r>
        <w:t>FR: ATF 84 IV 84</w:t>
      </w:r>
    </w:p>
    <w:p>
      <w:r>
        <w:t>IT: DTF 84 IV 84</w:t>
      </w:r>
    </w:p>
    <w:p>
      <w:pPr>
        <w:pStyle w:val="Heading2"/>
      </w:pPr>
      <w:r>
        <w:t>Regeste</w:t>
      </w:r>
    </w:p>
    <w:p>
      <w:r>
        <w:t>Regeste Art. 268 BStP. Begriff des Urteils. Ist die Nichtigkeitsbeschwerde zulässig gegen eine Entscheidung, durch die das Begehren auf Anordnung vorsorglicher Massnahmen im Sinne des Art. 9 UWG abgewiesen wurde?</w:t>
      </w:r>
    </w:p>
    <w:p>
      <w:r>
        <w:t>Regeste Art. 268 PPF. Notion du jugement. La décision refusant d'ordonner des mesures provisionnelles au sens des art. 9 ss LCD constituet-elle un jugement susceptible d'un pourvoi en nullité?</w:t>
      </w:r>
    </w:p>
    <w:p>
      <w:r>
        <w:t>Regesto Art. 268 PPF. Nozione di sentenza. Costituisce la decisione che rifiuta di ordinare provvedimenti d'urgenza conformemente agli art. 9 sgg. LCS una sentenza contro la quale è ammissibile un ricorso per cassazione?</w:t>
      </w:r>
    </w:p>
    <w:p>
      <w:pPr>
        <w:pStyle w:val="Heading2"/>
      </w:pPr>
      <w:r>
        <w:t>Erwägungen</w:t>
      </w:r>
    </w:p>
    <w:p>
      <w:r>
        <w:rPr>
          <w:b/>
        </w:rPr>
        <w:t>E. 1</w:t>
      </w:r>
    </w:p>
    <w:p>
      <w:r>
        <w:t>En vertu de l'art. 269 PPF, le pourvoi en nullité n'est recevable que pour violation du droit fédéral. Cette exigence est remplie en l'espèce, bien que le juge d'instruction ait statué en se fondant sur les règles de la procédure cantonale (art. 24, 25, 26, 108 ss. CPP gen.). En effet, déjà dans son mémoire à la Chambre d'accusation, le recourant a soutenu que des mesures provisionnelles devaient être ordonnées en vertu des art. 9 ss. LCD et c'est de la violation de ces dispositions qu'il se plaint aujourd'hui.</w:t>
      </w:r>
    </w:p>
    <w:p>
      <w:r>
        <w:rPr>
          <w:b/>
        </w:rPr>
        <w:t>E. 2</w:t>
      </w:r>
    </w:p>
    <w:p>
      <w:r>
        <w:t>Selon l'art. 268 PPF, le pourvoi en nullité est recevable exclusivement contre des jugements, des ordonnances de non-lieu et des prononcés pénaux émanant d'autorités administratives. L'arrêt attaqué ne rentre ni dans l'une ni dans l'autre des deux dernières catégories. Il convient d'examiner en revanche s'il constitue un jugement. D'après la jurisprudence, le jugement est une décision (de dernière instance cantonale) qui statue sur le sort même de la cause et non sur la marche de la procédure ou sur une simple question d'exécution (RO 83 IV 113; 74 IV 128 ). Il peut avoir pour objet non seulement l'acquittement ou la condamnation du prévenu mais aussi des mesures. Cependant, celles-ci ne doivent pas être simplement provisoires Il est nécessaire qu'elles concernent le sort même de la cause, comme les mesures prévues aux art. 42 à 45 ou à l'art. 91 CP (RO 80 IV 148, 70 IV 115 et 122, 68 IV 159), comme aussi la révocation du sursis (RO 68 IV 118), la conversion d'une amende en arrêts (RO 68 IV 118) ou la radiation d'une condamnation au casier judiciaire (RO 68 IV 105). Il n'est pas indispensable en revanche que le jugement mette fin à la procédure. Il peut s'agir d'un jugement BGE 84 IV 84 S. 86 incident concernant une question préjudicielle, à condition toutefois que la décision prise soit définitive et qu'il ne soit pas possible d'y revenir ultérieurement (RO 68 IV 113, 72 IV 89, 80 IV 177). De plus, le jugement incident doit lui aussi porter sur des questions intéressant le sort même de la cause, telles que la validité de la plainte, la prescription de l'action pénale ou la responsabilité de l'accusé (RO 80 IV 177, 72 IV 89). Certains auteurs paraissent donner à la notion de jugement un sens plus large et y englobent "toute décision ayant statué ... sur une requête en matière pénale dont le juge connaît" (L. COUCHEPIN, Le pourvoi en nullité au Tribunal fédéral contre les décisions rendues en matière pénale par les autorités cantonales, SJ 1942, p. 231/232; J. BOURGKNECHT, Fiches juridiques suisses no 748 p. 3). Cette opinion est cependant dépassée par la jurisprudence qui vient d'être rappelée. Elle ne saurait dès lors être retenue. D'ailleurs les auteurs qui la professent exigent aussi que la décision soit prise par le juge.</w:t>
      </w:r>
    </w:p>
    <w:p>
      <w:r>
        <w:rPr>
          <w:b/>
        </w:rPr>
        <w:t>E. 3</w:t>
      </w:r>
    </w:p>
    <w:p>
      <w:r>
        <w:t>L'arrêt attaqué examine s'il y a lieu d'ordonner en vertu des art. 9 ss. LCD, comme l'avait demandé Burnat, le séquestre d'une certaine quantité de Redex. Il ne statue dès lors pas sur le sort même de la cause, c'est-à-dire sur le mérite de la plainte pénale pour concurrence déloyale. Il a trait à une mesure provisoire destinée uniquement à sauvegarder les prétentions éventuelles du recourant ou à lui permettre de prouver les faits qu'il allègue pour en déduire son droit. Dans la mesure où il constitue un jugement incident, il n'est pas définitif. En tout cas, le recourant ne soutient pas que le droit cantonal interdirait à l'autorité compétente d'ordonner à nouveau le séquestre. Supposé du reste que tel fût le cas, on pourrait se demander si, dans l'hypothèse où les circonstances l'exigeraient, le séquestre ne devrait pas être ordonné en vertu des règles du droit fédéral (art. 9 ss. LCD). Quoi qu'il en soit, la décision que le recourant sollicite en se fondant sur les art. 9 ss. LCD ne concerne pas une question intéressant BGE 84 IV 84 S. 87 le sort même de la cause. Or cela suffit pour qu'il soit impossible de considérer l'arrêt attaqué comme un jugement au sens de l'art. 268 PPF, d'autant plus du reste que le droit fédéral ne confie pas au juge le soin d'ordonner les mesures provisionnelles des art. 9 ss. LCD mais simplement à l'autorité compétente (art. 11 LCD). Peu importe que le recourant demande des mesures provisionnelles pour assurer l'exercice provisoire des droits litigieux prévus à l'art. 2 al. 1 litt. b et c LCD Seul en effet le jugement au fond statuera définitivement sur ces droits. Peu importe aussi qu'en vertu de l'art. 9 al. 2 LCD, celui qui requiert des mesures provisionnelles doive rendre vaisemblable qu'il est menacé d'un dommage difficilement réparable, car cette question ne concerne pas davantage le sort même de la cause.</w:t>
      </w:r>
    </w:p>
    <w:p>
      <w:r>
        <w:rPr>
          <w:b/>
        </w:rPr>
        <w:t>E. 4</w:t>
      </w:r>
    </w:p>
    <w:p>
      <w:r>
        <w:t>On pourrait se demander, il est vrai, si, par analogie avec les règles du recours en réforme, l'arrêt attaqué devrait pourvoir faire l'objet d'un pourvoi en nullité sur la question civile. Cette question doit être résolue négativement. En effet, étant donnés l'objet et la nature de la décision prise par la Chambre d'accusation, tels qu'ils ont été définis ci-dessus, la seule règle qui entrerait en ligne de compte dans le cadre du recours en réforme serait celle de l'art. 50 OJ relative au recours contre des décisions préjudicielles ou incidentes prises séparément du fond. Or, d'après la jurisprudence, ces décisions doivent être des jugements au fond portant sur une question de droit matériel dont la solution peut être de nature à mettre fin au procès et non pas des prononcés qui, comme les simples mesures provisionnelles des art. 9 ss. LCD, n'ont pas de caractère préjudiciel par rapport au jugement final (RO 71 II 250, 81 II 398, 82 II 170; BIRCHMEIER, Handbuch, note 1 ad art. 50 OJ). D'ailleurs, conformément à l'art. 58 OJ, les mesures provisionnelles demeurent de la compétence des autorités cantonales même après que le procès a été porté devant le Tribunal fédéral. Il est sans intérêt de rechercher si l'arrêt de la Chambre BGE 84 IV 84 S. 88 d'accusation constitue une décision incidente causant un dommage irréparable au sens de l'art. 87 OJ et si le recourant aurait pu ainsi l'attaquer par la voie d'un recours de droit public pour violation de l'art. 4 Cst. En effet, Burnat ne fait pas valoir ce grief. Il n'y a dès lors pas lieu non plus de transmettre le dossier à la Chambre de droit public.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