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65</w:t>
      </w:r>
    </w:p>
    <w:p>
      <w:r>
        <w:t>Bundesgericht (BGE), 1958-01-01, DE</w:t>
      </w:r>
    </w:p>
    <w:p>
      <w:r>
        <w:rPr>
          <w:b/>
        </w:rPr>
        <w:t xml:space="preserve">Quelle: </w:t>
      </w:r>
      <w:r>
        <w:t>https://mcp.opencaselaw.ch/entscheid/bge_BGE_84_IV_65</w:t>
      </w:r>
    </w:p>
    <w:p>
      <w:r>
        <w:t>FR: ATF 84 IV 65</w:t>
      </w:r>
    </w:p>
    <w:p>
      <w:r>
        <w:t>IT: DTF 84 IV 65</w:t>
      </w:r>
    </w:p>
    <w:p>
      <w:pPr>
        <w:pStyle w:val="Heading2"/>
      </w:pPr>
      <w:r>
        <w:t>Regeste</w:t>
      </w:r>
    </w:p>
    <w:p>
      <w:r>
        <w:t>Regeste Art. 5 MFV. Begriff des landwirtschaftlichen Traktors. Wann steht der Transport landwirtschaftlicher Produkte nicht mehr im Zusammenhang mit der Bewirtschaftung eines Landwirtschaftsbetriebes?</w:t>
      </w:r>
    </w:p>
    <w:p>
      <w:r>
        <w:t>Regeste Art. 5 RA. Notion du tracteur agricole. Quand le transport de produits agricoles cesse-t-il d'être en relation avec une exploitation agricole?</w:t>
      </w:r>
    </w:p>
    <w:p>
      <w:r>
        <w:t>Regesto Art. 5 RLA. Nozione di trattrice agricola. Quando il trasporto di prodotti agricoli cessa di essere in rapporto col governo di un'azienda agricola?</w:t>
      </w:r>
    </w:p>
    <w:p>
      <w:pPr>
        <w:pStyle w:val="Heading2"/>
      </w:pPr>
      <w:r>
        <w:t>Erwägungen</w:t>
      </w:r>
    </w:p>
    <w:p>
      <w:r>
        <w:rPr>
          <w:b/>
        </w:rPr>
        <w:t>E. 1</w:t>
      </w:r>
    </w:p>
    <w:p>
      <w:r>
        <w:t>Die Vorschrift des Art. 5 Abs. 1 MFG, wonach bloss mit einem Fahrzeugausweis versehene Motorfahrzeuge zum Verkehr zugelassen werden, findet gemäss Art. 5 MFV auf landwirtschaftliche Traktoren keine Anwendung. Als solche gelten nach der gesetzlichen Umschreibung Traktoren, die zu Fahrten im Zusammenhang mit der Bewirtschaftung eines Landwirtschaftsbetriebes verwendet werden. Massgebend ist demnach nicht die Zweckbestimmung des Traktors, sondern die Art seiner Verwendung im konkreten Fall. Die Behauptung des Beschwerdeführers, dass sein Traktor immer zu Fahrten verwendet worden sei, die mit BGE 84 IV 65 S. 67 seinem Landwirtschaftsbetrieb in Zusammenhang gestanden seien, hält nicht stand. Ob dieser Zusammenhang wenigstens bei den Fahrten bestanden habe, die er für den Transport von Heu und Stroh vom Ort der produzierenden Landwirte nach Endingen ausführte, kann offen bleiben, und ebenso braucht die damit zusammenhängende Frage nicht entschieden zu werden, ob die Verwendung eines Traktors zur Verrichtung landwirtschaftlicher Arbeiten für Rechnung Dritter gleich zu behandeln sei wie die Verwendung im eigenen Landwirtschaftsbetrieb (vgl. Kreisschreiben des Eidgenössischen Justiz- und Polizeidepartementes vom 19. Januar 1934, wo die Frage abweichend von einer früheren Stellungnahme bejaht wird). Jedenfalls waren die auf Rechnung seines Bruders Eduard Spuler ausgeführten Transporte von Endingen zu den Bahnstationen Döttingen und Niederweningen ohne Fahrzeugausweis unzulässig. Dass diese Transporte keinen Gewinn abwarfen, wie der Beschwerdeführer behauptet, ist unerheblich; Art. 5 Abs. 1 MFG macht die Verpflichtung, für das Inverkehrbringen eines Motorfahrzeuges einen Ausweis einzuholen, nicht von der Rentabilität der mit dem Fahrzeug auszuführenden Fahrten abhängig. Unter Art. 5 MFV fallen die Fahrten nicht, weil sie dem Heu- und Strohhandel Eduard Spulers dienten, der nicht einen Landwirtschaftsbetrieb bewirtschaftet, sondern emen Gewerbebetrieb führt. An der Natur dieses Geschäftes ändert nichts, dass Heu und Stroh landwirtschaftliche Produkte sind und deren Verwertung zur Bewirtschaftung landwirtschaftlicher Betriebe gehört. Mit dem Verkauf des Heus und Strohs durch die Landwirte an einen selbständigen Händler war die landwirtschaftliche Verwertung abgeschlossen, und das allenfalls noch bestehende Interesse der Landwirte am weiteren Absatz der verkauften Waren genügt nicht, um den in Art. 5 MFV geforderten Zusammenhang der Transporte mit der Bewirtschaftung ihrer Landwirtschaftsbetriebe zu begründen. Wäre das Interesse der Produzenten am Verkauf ihrer landwirtschaftlichen Erzeugnisse entscheidend, BGE 84 IV 65 S. 68 so könnte jeder Händler, der Waren solcher Art auf eigene Rechnung verarbeitet oder weiter verkauft, seine geschäftlichen Transporte mit einem Traktor besorgen, dessen Geschwindigkeit 20 km/Std nicht übersteigt, und damit die Beschaffung eines Fahrzeugausweises umgehen, eine Folge, die vernünftigerweise vom Gesetzgeber nicht gewollt sein kann. Indem der Beschwerdeführer seinen Traktor ohne Fahrzeugausweis für Fahrten verwenden liess, für die ein solcher vorgeschrieben ist, hat er Art. 61 Abs. 3 MFG verletzt.</w:t>
      </w:r>
    </w:p>
    <w:p>
      <w:r>
        <w:rPr>
          <w:b/>
        </w:rPr>
        <w:t>E. 2</w:t>
      </w:r>
    </w:p>
    <w:p>
      <w:r>
        <w:t>... (Rechtsirrtum gemäss Art. 20 StGB verneint).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