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54</w:t>
      </w:r>
    </w:p>
    <w:p>
      <w:r>
        <w:t>Bundesgericht (BGE), 1958-01-01, DE</w:t>
      </w:r>
    </w:p>
    <w:p>
      <w:r>
        <w:rPr>
          <w:b/>
        </w:rPr>
        <w:t xml:space="preserve">Quelle: </w:t>
      </w:r>
      <w:r>
        <w:t>https://mcp.opencaselaw.ch/entscheid/bge_BGE_84_IV_54</w:t>
      </w:r>
    </w:p>
    <w:p>
      <w:r>
        <w:t>FR: ATF 84 IV 54</w:t>
      </w:r>
    </w:p>
    <w:p>
      <w:r>
        <w:t>IT: DTF 84 IV 54</w:t>
      </w:r>
    </w:p>
    <w:p>
      <w:pPr>
        <w:pStyle w:val="Heading2"/>
      </w:pPr>
      <w:r>
        <w:t>Regeste</w:t>
      </w:r>
    </w:p>
    <w:p>
      <w:r>
        <w:t>Regeste Art. 26 Abs. 3 MFG. Darf auf Strecken, die durch Nebel unübersichtlich geworden sind, überholt werden?</w:t>
      </w:r>
    </w:p>
    <w:p>
      <w:r>
        <w:t>Regeste Art. 26 al. 3 LA. Est-il permis de dépasser aux endroits où le brouillard restreint la vue?</w:t>
      </w:r>
    </w:p>
    <w:p>
      <w:r>
        <w:t>Regesto Art. 26 cp. 3 LA. È lecito oltrepassare nei tratti di strada in cui la visibilità è ridotta a causa della nebbia?</w:t>
      </w:r>
    </w:p>
    <w:p>
      <w:pPr>
        <w:pStyle w:val="Heading2"/>
      </w:pPr>
      <w:r>
        <w:t>Erwägungen</w:t>
      </w:r>
    </w:p>
    <w:p>
      <w:r>
        <w:rPr>
          <w:b/>
        </w:rPr>
        <w:t>E. 1</w:t>
      </w:r>
    </w:p>
    <w:p>
      <w:r>
        <w:t>Die Auffassung der Staatsanwaltschaft und des Obergerichts, dass die Beschwerdeführerin wegen der durch den Nebel beeinträchtigten Sicht überhaupt nicht hätte überholen dürfen, sondern dass sie verpflichtet gewesen wäre, den Führer des stillstehenden Wagens zur Weiterfahrt aufzufordern, ist nicht haltbar. Ob eine unter normalen Umständen übersichtliche Strecke durch Nebel oder ähnliche atmosphärische Einflüsse zur unübersichtlichen Stelle im Sinne des Art. 26 Abs. 3 MFG bzw. des gleichlautenden Art. 46 Abs. 3 MFV werde oder ob unter diesem Begriff nur unübersichtliche örtliche Verhältnisse zu verstehen seien, wie STREBEL (N. 26 zu Art. 26 MFG) annimmt, kann dahingestellt bleiben. Das Überholen eines in zulässiger Weise am rechten Strassenrand stationierten Fahrzeuges muss im Interesse des Verkehrs in jedem Fall grundsätzlich gestattet sein, auch wenn Nebel die Sicht beschränkt. Müsste in solchen Verhältnissen immer und überall angehalten und das Freiwerden der rechten Strassenhälfte abgewartet werden, sooft zum Überholen die linke Strassenhälfte in Anspruch genommen werden muss, so würde der Ablauf des Verkehrs unnötig erschwert, ja in vielen Fällen geradezu verunmöglicht, BGE 84 IV 54 S. 56 insbesondere, wenn der Führer des stillstehenden Wagens nicht zur Stelle ist oder aus irgendeinem Grund sein Fahrzeug nicht in Bewegung setzen kann. Unter dem Gesichtspunkt der Gefährdung entgegenkommender Fahrzeuge ist es auch nicht das Gleiche, ob auf gerader Strecke bei Nebel oder ob an einer durch die örtlichen Verhältnisse unübersichtlichen Stelle, wie z.B. vor einer Biegung, überholt wird. Im ersten Fall wirkt sich der Nebel auf die Sicht aller Verkehrsteilnehmer in gleicher Weise nachteilig aus, und es darf unter solchen Umständen vorausgesetzt werden, dass jeder Motorfahrzeugführer seine Geschwindigkeit der beschränkten Sichtweite pflichtgemäss anpasse, damit er auf kurze Distanz anhalten kann, während im zweiten Fall der Überholende mit dem plötzlichen Auftauchen rasch fahrender Fahrzeuge rechnen muss.</w:t>
      </w:r>
    </w:p>
    <w:p>
      <w:r>
        <w:rPr>
          <w:b/>
        </w:rPr>
        <w:t>E. 2</w:t>
      </w:r>
    </w:p>
    <w:p>
      <w:r>
        <w:t>(Es frägt sich bloss, ob die Beschwerdeführerin das Überholen mit besonderer Vorsicht gemäss Art. 46 Abs. 3 MFV ausgeführt habe. In dieser Richtung kann ihr, wie näher ausgeführt wird, ein Vorwurf nicht gemacht werden.) Dispositiv Demnach erkennt der Kassationshof: Die Nichtigkeitsbeschwerde wird gutgeheissen, das angefochtene Urteil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