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50</w:t>
      </w:r>
    </w:p>
    <w:p>
      <w:r>
        <w:t>Bundesgericht (BGE), 1953-03-03, DE</w:t>
      </w:r>
    </w:p>
    <w:p>
      <w:r>
        <w:rPr>
          <w:b/>
        </w:rPr>
        <w:t xml:space="preserve">Quelle: </w:t>
      </w:r>
      <w:r>
        <w:t>https://mcp.opencaselaw.ch/entscheid/bge_BGE_84_IV_50</w:t>
      </w:r>
    </w:p>
    <w:p>
      <w:r>
        <w:t>FR: ATF 84 IV 50</w:t>
      </w:r>
    </w:p>
    <w:p>
      <w:r>
        <w:t>IT: DTF 84 IV 50</w:t>
      </w:r>
    </w:p>
    <w:p>
      <w:pPr>
        <w:pStyle w:val="Heading2"/>
      </w:pPr>
      <w:r>
        <w:t>Regeste</w:t>
      </w:r>
    </w:p>
    <w:p>
      <w:r>
        <w:t>Regeste 1. Art. 3 MFG. Wann ist die Verurteilung wegen Verletzung kantonaler Verkehrsvorschriften bundesrechtswidrig? 2. BRB vom 3. März 1953 über die Einführung neuer Strassensignale. Das Anbringen des in Art. 16 dieses BRB beschriebenen Signals ist nicht Bedingung für die Gültigkeit des Signals Nr. 17 der Verordnung über die Strassensignalisation.</w:t>
      </w:r>
    </w:p>
    <w:p>
      <w:r>
        <w:t>Regeste 1. Art. 3 LA. Quand une condamnation prononcée pour violation des règles cantonales sur la circulation est-elle contraire au droit fédéral? 2. ACF du 3 mars 1953 sur l'introduction de nouveaux signaux routiers. La pose du signal décrit à l'art. 16 de cet arrêté n'est pas une condition de la validité du signal no 17 de l'ordonnance sur la signalisation routière.</w:t>
      </w:r>
    </w:p>
    <w:p>
      <w:r>
        <w:t>Regesto 1. Art. 3 LA. Quando una condanna pronunciata per violazione di norme cantonali sulla circolazione è contraria al diritto federale? 2. DCF 3 marzo 1953 che introduce nuovi segnali stradali. La posa del segnale descritto all'art. 16 di detto decreto non è una condizione per la validità del segnale N. 17 dell'ordinanza concernente la segnalazione stradale.</w:t>
      </w:r>
    </w:p>
    <w:p>
      <w:pPr>
        <w:pStyle w:val="Heading2"/>
      </w:pPr>
      <w:r>
        <w:t>Erwägungen</w:t>
      </w:r>
    </w:p>
    <w:p>
      <w:r>
        <w:rPr>
          <w:b/>
        </w:rPr>
        <w:t>E. 1</w:t>
      </w:r>
    </w:p>
    <w:p>
      <w:r>
        <w:t>Der Beschwerdeführer hat die Vorschrift des Art. 25 Abs. 1 MFG verletzt, weil er sein Fahrzeug nicht BGE 84 IV 50 S. 52 beherrschte. Dass der Wagen auf das Trottoir geriet und nacheinander an einen Kandelaber und an eine Gartenmauer prallte, beweist, dass Fischer die Herrschaft über sein Fahrzeug verloren hat. Aus diesem Grunde hätte er sich bundesrechtlich auch strafbar gemacht, wenn die Schleudergefahr nicht durch ein entsprechendes Signal angezeigt worden wäre. Der Einwand des Beschwerdeführers, er habe das Signal so verstanden, dass es sich nur auf die Kurve selbst beziehe, und die Schleuderbewegung sei erst ausgangs der Kurve eingetreten, ist daher unbehelflich. Er hätte, wie die kantonalen Gerichte feststellen, als erfahrener Automobilist erkennen können, dass die Schleudergefahr angesichts der spiegelglatten Teerfläche auch nach der Kurve fortbestand.</w:t>
      </w:r>
    </w:p>
    <w:p>
      <w:r>
        <w:rPr>
          <w:b/>
        </w:rPr>
        <w:t>E. 2</w:t>
      </w:r>
    </w:p>
    <w:p>
      <w:r>
        <w:t>Das Signal, das die Höchstgeschwindigkeit auf 40 km/Std beschränkte, hat die Bedeutung einer örtlichen Verkehrsregelung im Sinne des Art. 3 Abs. 3 MFG. Der Führer, der es missachtet, übertritt nicht Bundesrecht und ist nicht nach Art. 58 MFG, sondern nach kantonalem Recht zu bestrafen ( BGE 78 IV 186 ). Nach ständiger Rechtsprechung setzt die Bestrafung wegen Widerhandlung gegen eine solche kantonale Vorschrift jedoch voraus, dass die Verkehrsbeschränkung kundgemacht und für denjenigen, der sie nicht kennt, durch ein den eidgenössischen Bestimmungen über die Strassensignalisation entsprechendes Signal angezeigt worden ist. Die Verurteilung wegen Verletzung kantonaler Verkehrsvorschriften kann daher als bundesrechtswidrig angefochten werden, wenn die Widerhandlung darauf zurückzuführen ist, dass der Verurteilte wegen Fehlens eines Signales oder wegen vorschriftswidriger Signalisierung irregeführt worden ist ( BGE 80 IV 46 ). Dass die zur Beschränkung der Höchstgeschwindigkeit verwendete Tafel nicht dem Signal Nr. 17 der SigV entsprochen habe, behauptet der Beschwerdeführer selber nicht. Die Rüge aber, das Ende der Strecke, auf der die Geschwindigkeitsbeschränkung zu beachten gewesen sei, BGE 84 IV 50 S. 53 hätte durch das in Art. 16 des BRB vom 3. März 1953 beschriebene Signal bezeichnet werden müssen, ist nicht begründet. Das Anbringen dieses Signals ist nicht Bedingung für die Gültigkeit des Signals Nr. 17. Art. 16 des BRB vom 3. März 1953 schreibt bloss vor, dass zur Bezeichnung des Endpunktes der Strecke, auf der die Höchstgeschwindigkeit beschränkt wird, einheitlich die weisse Tafel mit dem schwarzen Querbalken zu verwenden, d.h. dass die Verwendung eines andern Zeichens nicht gestattet sei. Die Vorschrift sagt aber nicht, dass jedes Mal, wenn das Signal Nr. 17 aufgestellt werde, auch das Ende der Geschwindigkeitsbeschränkung signalisiert werden müsse. Wo ein solches fehlt, ist es Sache des Fahrzeugführers, den Ort festzustellen, von dem an die Geschwindigkeitsbeschränkung vernünftigerweise nicht mehr gelten kann. Im allgemeinen ist der Grund für die Beschränkung der Höchstgeschwindigkeit aus der Natur der örtlichen Verhältnisse (Ortschaften, Verengung oder Bodenbeschaffenheit der Strasse, Baustellen usw.) und damit auch die Stelle, wo er zu bestehen aufhört, ohne weiteres erkennbar. Im vorliegenden Fall war der Grund der Geschwindigkeitsbeschränkung durch das am gleichen Ort aufgestellte Signal "Schleudergefahr" kenntlich gemacht, und dass diese nicht bloss in der Kurve selber bestand, sondern auch noch im unmittelbar angrenzenden Strassenstück, war aus der Beschaffenheit der Strasse ersichtlich. Davon abgesehen hat Fischer nach der Feststellung der kantonalen Gerichte die vorgeschriebene Höchstgeschwindigkeit schon in der Kurve überschritten.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