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12</w:t>
      </w:r>
    </w:p>
    <w:p>
      <w:r>
        <w:t>Bundesgericht (BGE), 1958-01-01, DE</w:t>
      </w:r>
    </w:p>
    <w:p>
      <w:r>
        <w:rPr>
          <w:b/>
        </w:rPr>
        <w:t xml:space="preserve">Quelle: </w:t>
      </w:r>
      <w:r>
        <w:t>https://mcp.opencaselaw.ch/entscheid/bge_BGE_84_IV_12</w:t>
      </w:r>
    </w:p>
    <w:p>
      <w:r>
        <w:t>FR: ATF 84 IV 12</w:t>
      </w:r>
    </w:p>
    <w:p>
      <w:r>
        <w:t>IT: DTF 84 IV 12</w:t>
      </w:r>
    </w:p>
    <w:p>
      <w:pPr>
        <w:pStyle w:val="Heading2"/>
      </w:pPr>
      <w:r>
        <w:t>Regeste</w:t>
      </w:r>
    </w:p>
    <w:p>
      <w:r>
        <w:t>Regeste Art. 28 Abs. 1, 137 Ziff. 3 StGB. Ist der Dieb, der mit dem Gewahrsamsinhaber, nicht aber mit dem Eigentümer der gestohlenen Sache verwandt ist, von Amtes wegen oder auf Antrag zu verfolgen?</w:t>
      </w:r>
    </w:p>
    <w:p>
      <w:r>
        <w:t>Regeste Art. 28 al. 1, 137 ch. 3 CP. Le voleur, qui est apparenté au détenteur et non au propriétaire de la chose volée, doit-il être poursuivi d'office ou sur plainte?</w:t>
      </w:r>
    </w:p>
    <w:p>
      <w:r>
        <w:t>Regesto Art. 28, cp. 1, 137 num. 3 CP. L'autore di un furto, che si trova in rapporto di parentela con il detentore ma non con il proprietario della cosa rubata, é perseguibile d'officio o soltanto a querela di parte?</w:t>
      </w:r>
    </w:p>
    <w:p>
      <w:pPr>
        <w:pStyle w:val="Heading2"/>
      </w:pPr>
      <w:r>
        <w:t>Erwägungen</w:t>
      </w:r>
    </w:p>
    <w:p>
      <w:r>
        <w:rPr>
          <w:b/>
        </w:rPr>
        <w:t>E. 1</w:t>
      </w:r>
    </w:p>
    <w:p>
      <w:r>
        <w:t>.....</w:t>
      </w:r>
    </w:p>
    <w:p>
      <w:r>
        <w:rPr>
          <w:b/>
        </w:rPr>
        <w:t>E. 2</w:t>
      </w:r>
    </w:p>
    <w:p>
      <w:r>
        <w:t>Indem Frau X. der ihrem Ehemann anvertrauten Kasse wiederholt Geld entnahm, machte sie sich des Diebstahls schuldig. Ob sie dafür bestraft werden kann, hängt davon ab, wer durch die strafbaren Handlungen verletzt wurde. Denn nach Art. 137 Ziff. 3 StGB wird der Täter, der zum Nachteil eines Angehörigen oder Familiengenossen stiehlt, nur auf Antrag verfolgt. Im vorliegenden Fall steht fest, dass X. die von den Krankenkassenmitgliedern einbezahlten Beträge stets getrennt von seiner eigenen Barschaft aufbewahrte. Das eingezogene Geld war somit eine "fremde" Sache, es gehörte der Schweizerischen Krankenkasse Helvetia ( BGE 81 IV 233 ). Diese wurde in ihrer Eigenschaft als Eigentümerin des Kassetteninhalts durch die strafbaren Handlungen der Beschwerdegegnerin unmittelbar verletzt ( BGE 74 IV 7 , BGE 78 IV 215 ). Dass sie heute nicht mehr geschädigt ist, weil X. die Fehlbeträge jeweils durch Verrechnung mit seiner Inkassoprovision und durch Barzuschüsse ausglich, hilft der Beschwerdegegnerin nicht. Die nachträgliche Schadensdeckung macht die - wenn auch nur vorübergehend, so doch - tatsächlich eingetretene Schädigung der Krankenkasse Helvetia nicht ungeschehen. Damit aber steht fest, dass die Diebstähle der Beschwerdegegnerin zur Verletzung eines Opfers führten, das weder ihr Angehöriger noch ihr Familiengenosse war. Frau X. ist daher von Amtes wegen zu verfolgen. Angesichts dessen braucht die Frage nicht entschieden zu werden, ob X. als Inhaber des Gewahrsams am gestohlenen Geld ebenfalls Verletzter im Sinne des Art. 28 StGB sei. Selbst wenn dies anzunehmen wäre, müsste es beim Gesagten sein Bewenden haben. Denn bei Verletzung mehrerer Personen ist die Regel des Art. 137 Ziff. 3 StGB nur anwendbar, wenn alle Betroffenen Angehörige oder Familiengenossen des Diebes sind. Das Privileg des Art. 137 Ziff. 3 StGB hat seinen Grund in den persönlichen Verhältnissen BGE 84 IV 12 S. 15 des Täters zum Verletzten und dringt daher nicht durch, wenn die Tat gleichzeitig und unmittelbar auch Dritte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