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91</w:t>
      </w:r>
    </w:p>
    <w:p>
      <w:r>
        <w:t>Bundesgericht (BGE), 1958-01-01, DE</w:t>
      </w:r>
    </w:p>
    <w:p>
      <w:r>
        <w:rPr>
          <w:b/>
        </w:rPr>
        <w:t xml:space="preserve">Quelle: </w:t>
      </w:r>
      <w:r>
        <w:t>https://mcp.opencaselaw.ch/entscheid/bge_BGE_84_II_91</w:t>
      </w:r>
    </w:p>
    <w:p>
      <w:r>
        <w:t>FR: ATF 84 II 91</w:t>
      </w:r>
    </w:p>
    <w:p>
      <w:r>
        <w:t>IT: DTF 84 II 91</w:t>
      </w:r>
    </w:p>
    <w:p>
      <w:pPr>
        <w:pStyle w:val="Heading2"/>
      </w:pPr>
      <w:r>
        <w:t>Regeste</w:t>
      </w:r>
    </w:p>
    <w:p>
      <w:r>
        <w:t>Regeste Art. 836 ZGB, Gesetzliche Pfandrechte des kantonalen Rechts. Das gesetzliche, im Range allen übrigen Pfandrechten vorgehende, Grundpfandrecht für die Grundstückgewinnsteuer des Kantons Zürich gemäss § 157 des zürch. Gesetzes über die direkten Steuern und § 194 lit. e EG/ZGB verstösst nicht gegen Bundesrecht (Art. 836 ZGB). Bedeutung dieser Bestimmung.</w:t>
      </w:r>
    </w:p>
    <w:p>
      <w:r>
        <w:t>Regeste Art. 836 CC. Gages immobiliers légaux du droit cantonal. L'hypothèque légale, primant quant au rang tous les autres gages, prévue pour l'impôt sur la plus-value des immeubles par § 157 de la loi zurichoise sur les impôts directs et § 194 litt. e de la loi d'introduction du code civil suisse n'est pas contraire au droit fédéral (art. 836). Portée de cette disposition.</w:t>
      </w:r>
    </w:p>
    <w:p>
      <w:r>
        <w:t>Regesto Art. 836 CC, ipoteche legali stabilite dal diritto cantonale. L'ipoteca legale, prevalente ad ogni altro diritto di pegno, prevista in garanzia dell'imposta cantonale sul plusvalore dal § 157 della legge zurigana sulle imposte dirette e dal § 194 lett. e della legge di applicazione del CC, non viola il diritto federale (art. 836 CC). Portata di questa disposizione.</w:t>
      </w:r>
    </w:p>
    <w:p>
      <w:pPr>
        <w:pStyle w:val="Heading2"/>
      </w:pPr>
      <w:r>
        <w:t>Erwägungen</w:t>
      </w:r>
    </w:p>
    <w:p>
      <w:r>
        <w:rPr>
          <w:b/>
        </w:rPr>
        <w:t>E. 1</w:t>
      </w:r>
    </w:p>
    <w:p>
      <w:r>
        <w:t>Vor Bundesgericht geht der Streit einzig um die Frage, ob die Regelung in § 196 in Verbindung mit § 194 des zürch. EG/ZGB in seiner heutigen Fassung, wonach das (auch) für die Grundstückgewinnsteuer bestehende gesetzliche Pfandrecht im Range allen übrigen Pfandrechten vorgeht, mit Art. 836 ZGB vereinbar ist oder nicht, was das Bezirksgericht bejaht, das Obergericht aber verneint hat. Diese Überprüfung steht, wie das Kassationsgericht zutreffend ausgeführt hat, dem Bundesgericht als Berurufungsinstanz zu, denn wenn das Obergericht zu Unrecht angenommen hat, dem vom Betreibungsamt und vom Bezirksgericht zugunsten der Grundstückgewinnsteuerforderung der Stadtgemeinde angewendeten kantonalen Recht sei durch Art. 836 ZGB derogiert, so liegt eine Verletzung von Bundesrecht vor, was nach Art. 43 Abs. 2 OG dann der Fall ist, wenn ein in einer eidgenössischen Vorschrift ausdrücklich ausgesprochener oder daraus sich ergebender Rechtssatz nicht oder nicht richtig angewendet worden ist. BGE 84 II 91 S. 100</w:t>
      </w:r>
    </w:p>
    <w:p>
      <w:r>
        <w:rPr>
          <w:b/>
        </w:rPr>
        <w:t>E. 2</w:t>
      </w:r>
    </w:p>
    <w:p>
      <w:r>
        <w:t>Bei der Prüfung der Tragweite des Art. 836 ZGB ist von seinem Wortlaute auszugehen. Dieser beschränkt sich auf die Anordnung, dass die gesetzlichen Pfandrechte des kantonalen Rechtes aus öffentlichrechtlichen ... Verhältnissen zu ihrer Entstehung keiner Eintragung im Grundbuch bedürfen - im Gegensatz zu denjenigen des Privatrechts. Sein Wortlaut enthält also lediglich eine negative Formvorschrift (vgl. GUSBERTI, Das Steuerpfandrecht, Zürch. Diss. 1944, S. 33 f.). Der Artikel sagt nicht etwa, dass die Kantone berechtigt seien, gesetzliche Grundpfandrechte zu schaffen und sie gesetzgeberisch auszugestalten; vielmehr stellt er lediglich fest, dass es solche kantonalen gesetzlichen Pfandrechte schon vor dem ZGB gab und neben den Grundpfandrechten des ZGB weiterhin geben wird, ohne dass sie wie diese an die Voraussetzung der Eintragung im Grundbuch gebunden sind. Art. 836 ZGB ist ein Anwendungsfall von Art. 6, wonach die Kantone in ihren öffentlichrechtlichen Befugnissen durch das Bundeszivilrecht nicht beschränkt werden. Die Kantone sind demnach befugt, über die gesamte Materie des Steuerrechts - mit Ausnahme der Bundessteuern - zu legiferieren. Es steht ihnen nicht nur zu, festzusetzen, was jeder Steuerpflichtige zu leisten hat, sondern auch, welche Sicherheit die kantonalen und kommunalen Fisci für diese Leistungen beanspruchen können. Zur Beibehaltung oder Einführung gesetzlicher Pfandrechte im Sinne des Art. 836 ZGB sind die Kantone, wie die Vorinstanz zutreffend ausführt, kraft eigener Gesetzgebungshoheit, nicht etwa auf Grund einer Ermächtigung oder Delegation des Bundesgesetzgebers befugt. Das ZGB und im besonderen dessen Art. 836 kann und will den kantonalen öffentlichrechtlichen Grundpfandrechten keinen bestimmten Inhalt oder Umfang vorschreiben. Aus dem Umstand, dass der Vorbehalt zu ihren Gunsten im Abschnitt über die Grundpfandverschreibung steht, folgt immerhin als positive Vorschrift, dass diese kantonalen Pfandrechte für öffentlichrechtliche Forderungen den Pfandtypus der Grundpfandverschreibung BGE 84 II 91 S. 101 des ZGB benützen müssen, da sie doch berufen sind, in ihrer Wirkung mit den privaten Grundpfandrechten in Konkurrenz zu treten. Die gesetzgebungstechnische Funktion des Art. 836 ist nicht, den Kantonen einen Rahmen zu ziehen, in dessen Schranken sie ihre gesetzlichen Grundpfandrechte aufstellen und ausgestalten dürften; vielmehr nimmt dieser Vorbehalt lediglich vom Vorhandensein dieser auf der kantonalen Autonomie beruhenden Rechte - inmitten der bundesrechtlichen Regelung der privaten Grundpfandrechte - Kenntnis und weist ihnen die Form eines der drei bundesrechtlichen Pfandtypen an, jedoch unter Verzicht auf das Gültigkeitserfordernis der Eintragung. Auch hinsichtlich des Ranges der gesetzlichen Pfandrechte bestimmt Art. 836 nichts - und kann, angesichts des dargelegten Verhältnisses der beiden Gesetzgebungshoheiten, nichts bestimmen. Ebensowenig setzt er ihnen hinsichtlich der Höhe der durch sie zu sichernden Forderungen Schranken. a) Hievon ausgehend ist zunächst zu prüfen, ob die zürcherische Grundstückgewinnsteuer in Ansehung ihrer rechtlichen Natur, abgesehen von der möglichen Höhe der Steuerbeträge, sich unter Art. 836 ZGB subsumieren lässt. Die Ausdrucksweise des Gesetzes bezüglich der Umschreibung der gesetzlichen Pfandrechte ist, wie schon vor Inkrafttreten des Gesetzes festgestellt wurde (WIELAND, Komm. 1909, Art. 836 N. 2), ungenau und unklar, indem nicht ausser Zweifel steht, ob rein textlich das Bestimmungsmerkmal ... "für die Grundeigentümer allgemein verbindlichen" nur zu der Kategorie der "andern Verhältnisse" oder auch zu derjenigen der "öffentlichrechtlichen" gehört. Soweit es sich aber um öffentlichrechtliche Verhältnisse handelt, folgt aus dem erwähnten, in Art. 6 ZGB ausgesprochenen absoluten Vorbehalt der kantonalen Gesetzgebungsbefugnis auf dem Gebiete des öffentlichen Rechts, dass die in Art. 836 gegebene Umschreibung der Pfandrechte aus öffentlichrechtlichen Verhältnissen überhaupt keine weiteren, einschränkenden Elemente enthalten BGE 84 II 91 S. 102 kann, da ein solches auf eine Beschänkung der kantonalen Kompetenz auf öffentlichrechtlichem Gebiet hinausliefe, die eben Art. 6 ZGB zum vornherein ausschliesst. b) Aber selbst wenn man das Begriffselement "für die Grundeigentümer allgemein verbindlichen ..." auch auf Forderungen aus öffentlichrechtlichen Verhältnissen, namentlich auf Steuern, anwenden wollte, könnte der zürcherischen Grundstückgewinnsteuer die besondere Beziehung zum Grundstück - im Gegensatz etwa zur allgemeinen Vermögens- oder Einkommenssteuer - nicht abgesprochen werden (vgl. BGE 62 II 24 ff.). Richtig ist freilich, dass es sich bei der Grundstückgewinnsteuer, einer Wertzuwachssteuer auf Liegenschaften, um eine Einkommenssteuer handelt, die zwar an die Tatsache der Veräusserung einer Liegenschaft anknüpft, bei der jedoch nicht die Liegenschaft das Steuerobjekt bildet, sondern der dabei erzielte Gewinn, d.h. der Wertüberschuss der bei der Veräusserung bezogenen Vorteile über die für Erwerb und Wertvermehrung gemachten Aufwendungen hinaus (vgl. BGE 83 I 136 ff., bes. 142, und dort zitierte Literatur; HEINRICH GUHL, Die Spezialbesteuerung der Grundstückgewinne in der Schweiz, Diss. Zürich 1953, S. 65; für Objektsteuer auf dem Gewinn: F. TH. ZWEIFEL, Besteuerung der Grundstückgewinne im Kanton Zürich im Lichte der Praxis und Rechtsprechung, in Bulletin der Continental Revisions- und Treuhand AG, Januar 1957). Dieser steuerrechtlich hybride Charakter der Grundstückgewinnsteuer steht ihrer Subsumtion unter die in Art. 836 ZGB gemeinten Forderungen nicht entgegen. Sie wird allerdings bezogen nur von denjenigen Personen, die Grundeigentümer waren, und wird fällig in dem Moment, da dieselben aufhören, es zu sein, nämlich nicht mit dem Verkauf, sondern erst mit der Eigentumsübertragung ( § 171 StG ; H. PESTALOZZI, Handkommentar zum Zürcher Steuergesetz, § 161 N. 2). Sie trifft jedoch nur bisherige Grundeigentümer in dieser ihrer Eigenschaft, und zwar ohne Ausnahme alle ihr Eigentum veräussernden Grundeigentümer, BGE 84 II 91 S. 103 sofern ein Gewinn vorhanden ist, nicht nur einzelne oder einzelne Kategorien derselben, und nicht andere Bürger, die auch Grundeigentümer sind, bei denen aber die Voraussetzungen der Handänderung und des Gewinnes nicht zutreffen. Die Grundstückgewinnsteuer weist mithin die direkte Beziehung zum Pfandgrundstück auf, die bei der allgemeinen Vermögenssteuer vermisst wurde ( BGE 62 II 29 ). Vom begrifflichen Gesichtspunkt aus kann daher ihre Subsumtion unter Art. 836 ZGB nicht verneint werden. c) Den weiteren Erwägungen, aus denen die Vorinstanz mit Rücksicht auf die Grössenordnung der möglichen Steuerbeträge diese Unterstellung gestützt auf die Entstehungsgeschichte des Art. 836 und aus gesetzgebungspolitischen Gesichtspunkten ablehnt, kann nicht beigepflichtet werden. Der Methode, eine Bestimmung gegen ihren Wortlaut aus den Gesetzesmaterialien auszulegen, stehen grundsätzliche Bedenken gegenüber. Inhalt des Gesetzes ist, was darin steht, sei es ausdrücklich, sei es nach Systematik, durch Analogieschluss und dergl. daraus ableitbar. Art. 836 ZGB enthält keinerlei Andeutung einer Beschränkung der gesetzlichen Grundpfandrechte hinsichtlich des Wertes oder des Ranges. Was gewisse mit der Gesetzesvorbereitung befasste Stellen wünschten und einzelne dabei tätige Personen dachten und sagten, ist für die Auslegung nicht massgeblich, wenn es im Gesetzestext selbst nicht Ausdruck gefunden hat (vgl. BGE 80 II 212 f., BGE 81 I 282 Erw. 3, BGE 82 I 153 , BGE 82 II 485 f.). Wenn im Vorentwurf von 1898 zum ZGB ein eintragungsfreies gesetzliches Pfandrecht nur bis zum Betrage eines Jahreszinses vom Liegenschaftswert oder 5% desselben vorgesehen, aber bereits im Entwurfe des Bundesrates und schliesslich im Gesetze jede solche Einschränkung fallen gelassen und die Regelung für öffentlichrechtliche Forderungen schlechtweg der kantonalen Gesetzgebung überlassen wurde, so spielt es für die nachherige Auslegung keine Rolle mehr, dass anfänglich BGE 84 II 91 S. 104 eine inhaltliche Beschränkung erwogen worden war; im Gegenteil lässt sich aus dem Verzicht auf jeden derartigen textlichen Zusatz doch wohl nur der Schluss ziehen, dass von irgendwelcher quantitativen Beschränkung der kantonalen Rechtsetzungsbefugnis bewusst und in Kenntnis der Probleme abgesehen worden ist. Dass ferner bei den Gesetzesberatungen zu Art. 836 ZGB hauptsächlich an Forderungen für wertvermehrende öffentliche Leistungen und an relativ bescheidene Beträge gedacht wurde, ändert nichts daran, dass diese beruhigende Annahme im Gesetzestext durch keinerlei Beschränkung Ausdruck gefunden hat. Wenn der Gesetzesredaktor Eugen Huber in der Expertenkommission ausdrücklich die Bestimmung des Rangverhältnisses der gesetzlichen Pfandrechte den Kantonen zuerkannte und bemerkte, bei kleineren Beträgen werde sich die Voranstellung rechtfertigen, so war das freilich eine Erwartung und Mahnung an die Adresse der Kantone; das ZGB selbst hat weder eine dahingehende allgemeine Erwartung ausgesprochen noch eine bestimmte Limite für Vorgangspfandrechte gesetzt. d) Mit dem Verzicht auf eine solche wertmässige Begrenzung nahm der Gesetzgeber bewusst das Risiko in Kauf, dass die öffentlichrechtliche Belastung künftig einmal grösser sein könnte als die unbedeutenden Beträge, von denen man in der Expertenkommission keine wesentliche Benachteiligung der privaten Pfandgläubiger befürchtete. Enthält aber Art. 836 weder ausdrücklich noch dem Sinne nach eine Schranke hinsichtlich der Höhe der Pfandforderung oder deren Rang, so kann nicht gesagt werden, ein kantonales gesetzliches Pfandrecht, das sich als stärkere Belastung auswirrkt, verstosse gegen jene bundesrechtliche Bestimmung, während ein anderes, das nur eine kleinere Belastung mit sich bringt, mit ihr vereinbar sei. Wenn das Bundesrecht schon einen öffentlichrechtlichen Einbruch in das System der Pfandrechte und ihrer Ränge hinnimmt und bewusst auf eine wertmässige Begrenzung verzichtet, kann für die Frage der Rechtsgültigkeit nicht BGE 84 II 91 S. 105 entscheidend sein, ob im Einzelfalle der "Fremdkörper" grösser oder kleiner sei. Der in der Kompetenzausscheidung gemäss Art. 6 ZGB begründete und von Art. 836 für die gesetzlichen Pfandrechte sanktionierte Einbruch des öffentlichen Rechts in das Zivilrecht ist seit der Schaffung des ZGB freilich grösser geworden, wohl weniger zufolge der theroretischen Ausdehnung des öffentlichen Rechts auf Kosten des privaten - die Steuern galten schon damals als öffentlichrechtlich -, als infolge der Zunahme der öffentlichen Aufgaben und des daherigen Anwachsens der Fiskalität. Nur wenn das Ergebnis der vorstehend vertretenen, sich an den Gesetzestext haltenden Auslegung so unsinnig und unbillig wäre, dass vor 1912 niemand an etwas derartiges gedacht haben könnte und daher eine Gesetzeslücke anzunehmen wäre, dürfte die Rechtsprechung sich anmassen, den Gesetzgeber zu korrigieren. So aber liegt die Sache bei der Grundstückgewinnsteuer denn doch nicht, wo es sich nur um ein Mehr oder Weniger handelt. Von einer Vereitelung des Bundeszivilrechts bezüglich des Grundpfandwesens kann nicht die Rede sein. Es ist nicht Aufgabe des Bundeszivilrechtes, den Bürger, in casu den privaten Grundpfandgläubiger, vor derartigen aus der kantonalen Gesetzgebung folgenden Risiken zu bewahren. Es darf als normal vorausgesetzt werden, dass, wo bei einer Grundstückveräusserung ein Gewinn gemacht wird, auch die Hypotheken gedeckt sind. Wenn es von diesem Regelfall Ausnahmen geben kann, wie vorliegend, und die Folgen als unbillig und unerwünscht empfunden werden, so ist es Sache des Gesetzgebers, das Gesetz abzuändern, nicht des Richters, die Auslegung auf einen ganz andern Boden zu stellen. So, wie das Gesetz heute lautet, bildet die Kollokation der Grundstückgewinnsteuerforderung der Stadtgemeinde an erster Stelle keine Verletzung von Bundesrecht, weshalb das angefochtene Urteil, das die Klage der beiden Pfandgläubigerinnen in Bejahung einer solchen gutgeheissen hat, aufzuheben ist.</w:t>
      </w:r>
    </w:p>
    <w:p>
      <w:r>
        <w:rPr>
          <w:b/>
        </w:rPr>
        <w:t>E. 3</w:t>
      </w:r>
    </w:p>
    <w:p>
      <w:r>
        <w:t>Es ist im kantonalen Verfahren ausserdem die BGE 84 II 91 S. 106 Frage diskutiert worden, ob § 196 EG/ZGB gegen Art. 4 der zürch. Kantonsverfassung verstosse. Die Vorinstanz hat jedoch in Erw. III die Frage der Überprüfbarkeit kantonaler Gesetze auf ihre Verfassungsmässigkeit ausdrücklich offen gelassen, ebenso diejenige, ob das bezirksgerichtliche Urteil "die allenfalls aus einem ungeschriebenen Satz des Bundesrechtes abzuleitende Eigentumsgarantie verletze". Nach der Streichung der von der Vorinstanz in Erw. V angestellten Erwägungen (Rückwirkung des neuen Steuergesetzes) durch das Kassationsgericht und der Verneinung einer Bundesrechtsverletzung im Sinne von Erw. IV des vorinstanzlichen Entscheides durch das vorliegende Urteil ist es Sache der Vorinstanz, diese zurückgestellten klägerischen Standpunkte nachträglich zu prüfen, wobei entsprechend den Erwägungen des Kassationsgerichtes der Entscheid auch auf Nichteintreten wird lauten können. Den Parteien bliebe dann anheimgestellt, auf dem Wege der staatsrechtlichen Beschwerde die Frage der Verfassungsmässigkeit vor das Bundesgericht zu bringen. Die Gutheissung der vorliegenden Berufung hat daher nicht im Sinne der Abweisung der Klagen, sondern lediglich in dem der Aufhebung des Urteils und der Rückweisung an die Vorinstanz zu erfolgen.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