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685</w:t>
      </w:r>
    </w:p>
    <w:p>
      <w:r>
        <w:t>Bundesgericht (BGE), 1958-01-01, DE</w:t>
      </w:r>
    </w:p>
    <w:p>
      <w:r>
        <w:rPr>
          <w:b/>
        </w:rPr>
        <w:t xml:space="preserve">Quelle: </w:t>
      </w:r>
      <w:r>
        <w:t>https://mcp.opencaselaw.ch/entscheid/bge_BGE_84_II_685</w:t>
      </w:r>
    </w:p>
    <w:p>
      <w:r>
        <w:t>FR: ATF 84 II 685</w:t>
      </w:r>
    </w:p>
    <w:p>
      <w:r>
        <w:t>IT: DTF 84 II 685</w:t>
      </w:r>
    </w:p>
    <w:p>
      <w:pPr>
        <w:pStyle w:val="Heading2"/>
      </w:pPr>
      <w:r>
        <w:t>Regeste</w:t>
      </w:r>
    </w:p>
    <w:p>
      <w:r>
        <w:t>Regeste 1. Rechtsnatur der Klage auf "Aufhebung" eines Vertrages, ins. besondere Erbteilungsvertrages, wegen Willensmangels. Art. 31 OR, 638 ZGB. Zur Anwendung von Art. 64 OG (Erw. 1). 2. Wann ist eine Feststellungsklage von Bundesrechts wegen zulässig? (Erw. 2 und 4). 3. Klage auf Ausgleichung von Vorempfängen, eventuell auf Herabsetzung lebzeitiger Zuwendungen des Erblassers an Miterben des Klägers (Art. 626 ff., 522 ff. ZGB). Rechtsnatur dieser Klagen und des Anspruchs auf eine entsprechende Änderung der bereits vollzogenen Erbteilung. Ist der klagende Erbe in der Lage, diesen letztern Anspruch geltend zu machen, so steht es ihm nicht von Bundesrechts wegen zu, vorerst nur Ausgleichung, eventuell Herabsetzung zu verlangen und das Weitere einem spätern Rechtsstreite vorzubehalten (Erw. 3 und 4).</w:t>
      </w:r>
    </w:p>
    <w:p>
      <w:r>
        <w:t>Regeste 1. Nature juridique de la demande en "résolution" d'un contrat, notamment d'un contrat de partage, pour vice de la volonté. Art. 31 CO, 638 CC. De l'application de l'art. 64 OJ (consid. 1). 2. Cas dans lesquels le droit fédéral ouvre l'action en constatation de droit (consid. 2 et 4). 3. Action en rapport, éventuellement en réduction de libéralités entre vifs faites par le de cujus aux cohéritiers du demandeur (art. 626 ss., 522 ss. CC). Nature juridique de ces actions et de la prétention correspondante en modification du partage déjà exécuté. Si l'héritier demandeur est en mesure de faire valoir cette dernière prétention, le droit fédéral ne lui permet pas de plaider d'abord en rapport, cas échéant en réduction, et de réserver les autres questions pour une procédure ultérieure (consid. 3 et 4).</w:t>
      </w:r>
    </w:p>
    <w:p>
      <w:r>
        <w:t>Regesto 1. Natura giuridica dell'azione di "scioglimento" di un contratto, in particolare di un contratto di divisione, per vizio di volontà. Art. 31 CO, 638 CC. Dell'applicazione dell'art. 64 OG (consid. 1). 2. Quando il diritto federale ammette l'azione di accertamento? (consid. 2 e 4). 3. Azione di collazione, eventualmente di riduzione di liberalità tra vivi, fatte dal de cujus ai coeredi dell'attore (art. 626 sgg., 522 sgg. CC). Natura giuridica di queste azioni e della relativa pretesa tendente alla modificazione della divisione già eseguita. Se l'erede attore è in grado di far valere quest'ultima pretesa, il diritto federale non gli consente di chiedere dapprima la collazione, se è il caso la riduzione, e di riservare la altre questioni a un'ulteriore procedura (consid. 3 e 4).</w:t>
      </w:r>
    </w:p>
    <w:p>
      <w:pPr>
        <w:pStyle w:val="Heading2"/>
      </w:pPr>
      <w:r>
        <w:t>Erwägungen</w:t>
      </w:r>
    </w:p>
    <w:p>
      <w:r>
        <w:rPr>
          <w:b/>
        </w:rPr>
        <w:t>E. 1</w:t>
      </w:r>
    </w:p>
    <w:p>
      <w:r>
        <w:t>Das vorinstanzliche Urteil weist die Klage ab ohne Prüfung der Verbindlichkeit der beiden von der Klägerin mit ihrem ersten Begehren angefochtenen Verträge und ohne Feststellung der tatsächlichen Verhältnisse, wie sie das zweite Klagebegehren verlangte. Die Begründung dieser Entscheidung geht im wesentlichen dahin, die Feststellungsbegehren der Klage seien teilweise überhaupt und teilweise unter den gegebenen Umständen deshalb unzulässig, weil die Klägerin in der Lage gewesen wäre, die letzten Endes von ihr erstrebte Zuweisung weiterer Werte des väterlichen Vermögens an sie mit einer Leistungsklage zu verlangen, statt sich diese mit dem dritten Begehren für die Zukunft vorzubehalten. In der Tat ist nicht nur das zweite, ausdrücklich auf Feststellung lautende, sondern auch das erste Klagebegehren als Feststellungsklage zu betrachten. Es handelt sich dabei um die Anfechtung des von Vater Fahrner mit den drei Kindern abgeschlossenen Zuweisungsvertrages vom 23. Dezember 1942 und des nach seinem Tode von den drei Kindern miteinander abgeschlossenen Erbteilungsvertrages vom 3. Februar 1949. Das Begehren lautet auf "Aufhebung" der beiden Verträge wegen Willensmangels. Nach dem wahren Sinn des Begehrens wird damit die Feststellung der Unverbindlichkeit dieser Verträge verlangt. Denn nach schweizerischem Recht macht ein wesentlicher Willensmangel den Vertrag unverbindlich, und es liegt dem durch den Willensmangel beeinflussten Teil nur ob, die Unverbindlichkeit binnen gesetzlicher Frist durch Erklärung geltend zu machen ( Art. 31 OR ). Es bedarf also keines gerichtlichen Urteils in rechtsgestaltendem (rechtsaufhebendem) Sinne (vgl. VON TUHR- BGE 84 II 685 S. 691 SIEGWART, § 39; OSER/SCHÖNENBERGER, N. 3 ff. zu Art. 31 OR ). Das gilt auch für die Anfechtung eines Erbteilungsvertrages ( Art. 638 ZGB ). Das dritte Begehren, mit dem die Klägerin kein Sachurteil verlangt, sondern bloss eine zukünftige weitere Klage vorbehalten will, hat keine selbständige Bedeutung. Es fällt nur in Betracht, wenn die in erster Linie gestellten Feststellungsbegehren, die den eigentlichen Gegenstand des vorliegenden Rechtsstreites bilden, sich entgegen der vorinstanzlichen Entscheidung als gültig erweisen sollten. Das erst vor Bundesgericht gestellte eventuelle Rückweisungsbegehren ist nicht etwa, weil neu, nach Art. 55 Abs. 1 lit. b OG unzulässig. Es stützt sich auf Art. 64 OG und trägt in zutreffender Weise dem Umstande Rechnung, dass das Bundesgericht Veranlassung finden kann, die Sache zur Ergänzung der tatsächlichen Feststellungen an die Vorinstanz zurückzuweisen. Eine Entscheidung in diesem Sinne kommt jedoch nur in Frage, wenn die in kantonaler Instanz gestellten und vor Bundesgericht aufrecht erhaltenen Sachbegehren 1 und 2 nicht aus einem bereits nach Lage der Akten gegebenen Grunde als unzulässig oder unbegründet befunden werden.</w:t>
      </w:r>
    </w:p>
    <w:p>
      <w:r>
        <w:rPr>
          <w:b/>
        </w:rPr>
        <w:t>E. 2</w:t>
      </w:r>
    </w:p>
    <w:p>
      <w:r>
        <w:t>Das angefochtene Urteil verneint die Voraussetzungen eines bundesrechtlichen Anspruchs auf Feststellung, wie sie die Klägerin verlangt, und erklärt, deren Begehren liessen sich auch nicht auf kantonales Recht stützen (was an sich durch das Bundesrecht nicht ausgeschlossen wäre; BGE 84 II 495 ). In der zweiten Hinsicht unterliegt die kantonale Entscheidung nicht der Nachprüfung im Berufungsverfahren ( Art. 43 OG ). Was aber den bundesrechtlichen Feststellungsanspruch, wie ihn die Klägerin verficht, belangt, geht die Vorinstanz zutreffend davon aus, dass ein solcher Anspruch ein erhebliches Interesse an sofortiger Feststellung voraussetzt ( BGE 77 II 344 ff., insbesondere 351 oben). An dieser Voraussetzung fehlt es in der Regel, wenn der Ansprecher in der Lage ist, über die blosse Feststellung hinaus eine vollstreckbare BGE 84 II 685 S. 692 Leistung zu verlangen ( BGE 80 II 366 Erw. 4, BGE 81 II 466 , zweitunterster Absatz). Zwar ist die Feststellungsklage nicht schlechthin als der Leistungsklage nachgehend zu betrachten, so dass sie immer, wenn auf Leistung geklagt werden kann, ausgeschlossen wäre. Vielmehr kann sich auch bei Möglichkeit der Leistungsklage ein selbständiges Interesse an gerichtlicher Feststellung ergeben. Dies namentlich, wenn es darum geht, nicht nur die fällige Leistung zu erhalten, sondern die Gültigkeit des ihr zugrunde liegenden Rechtsverhältnisses auch für dessen künftige Abwicklung feststellen zu lassen (vgl. LEUCH, N. 3 zu Art. 174 der bernischen ZPO, 3. Aufl. S. 196 Mitte; GULDENER, Schweizerisches Zivilprozessrecht, 2. Aufl. S. 256, § 30 B III 2; STEIN, Grundriss § 7 S. 22; POHLE, Zur Lehre vom Rechtsschutzbedürfnis, Festschrift für Lent S. 222 mit Fussnote 92). Im vorliegenden Falle stehen jedoch keine künftigen Ansprüche der Klägerin in Frage. Es geht um die längst fällige Bereinigung der väterlichen Erbschaft, worüber sich die Erben denn auch mit dem Erbteilungsvertrag vom 3. Februar 1949 in abschliessendem Sinn auseinandergesetzt haben. Und wie die Vorinstanz feststellt, war die Klägerin durch die Steuerakten genügend über den Sachverhalt unterrichtet, um die ihr angeblich zustehenden erbrechtlichen Ansprüche zahlenmässig berechnen und in Form einer Klage auf Ausrichtung des ihr nach ihrer Ansicht zustehenden zusätzlichen Erbbetreffnisses (im Sinne der Ausgleichung nach Art. 626 ff. ZGB ), eventuell auf Auszahlung der ihr zukommenden Ergänzung ihres Pflichtteils (also im Sinn einer Herabsetzungsklage nach Art. 522 ff. ZGB ), geltend machen zu können.</w:t>
      </w:r>
    </w:p>
    <w:p>
      <w:r>
        <w:rPr>
          <w:b/>
        </w:rPr>
        <w:t>E. 3</w:t>
      </w:r>
    </w:p>
    <w:p>
      <w:r>
        <w:t>Wenn die Vorinstanz, anBGE 67 II 207ff. anknüpfend, dafür hält, sowohl die Ausgleichungs- wie auch die eventuelle Herabsetzungsklage sollte angesichts der bereits vollzogenen Erbteilung richtigerweise auf Leistung an die sich mit dem ihr Zugewiesenen nicht begnügende Erbin lauten, ist ihr allerdings nicht vorbehaltlos beizustimmen. BGE 84 II 685 S. 693 Das erwähnte Urteil sagt nicht, diese Klagen seien notwendigerweise als Leistungsklagen anzubringen, wenn ein Erbe nach durchgeführter Erbteilung eine sog. Nachteilung oder die Ergänzung seines Pflichtteils verlangen will. Es bezeichnet diese Art des Vorgehens, wie sie die Klägerschaft in jenem Fall befolgte, bloss als zulässig und erklärt, es brauche nicht unbedingt vorweg auf Ausgleichung (d.h. auf Feststellung, dass bestimmte Vorempfänge auszugleichen seien) oder Herabsetzung bestimmter Verfügungen unter Lebenden oder von Todes wegen und erst in zweiter Linie auf entsprechende Berichtigung oder Ergänzung der Erbteilung geklagt zu werden. Anders ausgedrückt: Das Bundesgericht hat i.S. Rieser-Honauer und Kinder gegen Honauer die unmittelbar erhobene Leistungsklage gelten lassen, ohne eine in erster Linie auf Feststellung (Ausgleichung) oder Rechtsgestaltung (Herabsetzung) gehende Klage im mindesten zu verpönen. Im übrigen hat jenes Urteil eine kritische Würdigung gefunden, welche es vollends rechtfertigt, ihm nicht die ihm von der Vorinstanz beigelegte weitergehende Tragweite zu geben (vgl. die Darlegungen von F. GUISAN, Journal des Tribunaux 1942 S. 136 ff.; ihm zustimmend GUHL, Zeitschrift des bern. Juristenvereins 78 S. 502). In der Tat geht ein Erbe, der nach durchgeführter Erbteilung zusätzliche Ansprüche auf Grund der Art. 626 ff. ZGB oder der Art. 522 ff. ZGB geltend machen will, jedenfalls nicht unrichtig vor, wenn er zunächst auf Feststellung der bisher nicht berücksichtigten, nach seiner Ansicht der Ausgleichung unterliegenden lebzeitigen Zuwendungen des Erblassers an andere Erben bzw. auf Herabsetzung der, wie er annimmt, in seine Pflichtteilsrechte eingreifenden Verfügungen klagt und erst in zweiter Linie, als Folge jener Feststellung oder Rechtsgestaltung, einen seinen Ansprüchen gerecht werdenden Vollzug, insbesondere eine "Nachteilung", verlangt. Das bedeutet jedoch nicht, es stehe von Bundesrechts wegen im Belieben des klagenden Erben, die derart - BGE 84 II 685 S. 694 an sich korrekterweise - gegliederten Rechtsbegehren auf mehrere aufeinanderfolgende Prozesse zu verteilen. Vielmehr darf, ohne dass darin irgendwelche Verletzung des eidgenössischen Erbrechts läge, füglich verlangt werden, dass der klagende Erbe, sofern er dazu in der Lage ist, mit dem Ausgleichungs- oder Herabsetzungsanspruch auch gleich in emer und derselben Klage die Vollzugsrechte geltend mache, die ihm erst zu dem letzten Endes erstrebten zusätzlichen Vermögenserwerb nach abgeschlossener Erbteilung verhelfen können. Daraus, dass ein Erbe (unter den gesetzlichen Voraussetzungen und Vorbehalten) die Ausgleichung von Vorempfängen verlangen kann, folgt nicht, es müsse ihm gestattet werden, einen solchen Anspruch in jedem Falle zum alleinigen Gegenstand eines Prozesses zu machen. Entsprechendes gilt auch für den Herabsetzungsanspruch. Dem materiellen Bundesrecht wird durchaus genügt, wenn der Ansprecher Gelegenheit erhält, seine Rechte im Rahmen eines umfassenderen Erbschaftsprozesses, in Verbindung mit andern Rechtsbegehren, geltend zu machen, sofern es deren eben bedarf, um ihm den mit der Ausgleichung oder Herabsetzung erstrebten Vorteil zu verschaffen. Weder der Ausgleichungs- noch der Herabsetzungsanspruch ist so selbständiger Natur, dass ein nur darauf gerichtetes Rechtsbegehren unter allen Umständen kraft des materiellen Rechtes an Hand genommen werden müsste. Zu diesen Ansprüchen, die als Feststellungs- bzw. Gestaltungsansprüche zu umschreiben sind, tritt der Anspruch auf Vollzug, der bei der Ausgleichung als Ausfluss der Teilungsklage erscheint (vgl. F. GUISAN, a.a.O. S. 147 unter Ziff. 2, b; zum Herausgabeanspruch als Folge einer Herabsetzung vgl. TUOR, 2. Aufl., N. 13 der Vorbemerkungen zu den Art. 522-533 ZGB ). Was die Fassung der Vollzugsbegehren betrifft, ist in der Regel dem sich aus Art. 628 ZGB ergebenden Wahlrecht des Ausgleichspflichtigen durch ein alternativ lautendes Begehren Rechnung zu tragen, es wäre denn, der Erblasser habe eine nach Abs. 2 daselbst massgebende Anordnung getroffen, BGE 84 II 685 S. 695 oder es komme nach den gegebenen Umständen von vornherein nur eine bestimmte Art der Ausgleichung in Betracht. Nach dem Gesagten verstösst das angefochtene Urteil nicht gegen Bundesrecht, wenn es die Beurteilung der bloss zur Vorbereitung eines mit dem dritten Klagebegehren ausdrücklich vorbehaltenen Nachprozesses dienenden Klagebegehren 1 und 2 ablehnt. Einmal ist offenkundig, dass die Klägerin bei Gutheissung dieser Begehren noch keinen vollstreckbaren Rechtstitel zu dem letzten Endes erstrebten zusätzlichen Erwerb väterlichen Vermögens in Händen hätte, und sodann hat ihr die Einsichtnahme in die Steuerakten eine zur Stellung zahlenmässig bestimmter Vollzugsbegehren hinreichende Kenntnis derjenigen Tatsachen verschafft, aus denen sie einen Anspruch auf Ausgleichung oder Herabsetzung herleiten zu können glaubt. Die im einzelnen noch bestehende Unsicherheit ist nicht grösser, als wenn es etwa um die Geltendmachung von Schadenersatz ginge, wobei die Leistungsklage auch einem nur ungefähr über die tatsächlichen Grundlagen seiner Ansprüche Unterrichteten zugemutet wird. Nichts Abweichendes folgt daraus, dass nach verbreitetem kantonalen Gerichtsgebrauch Erbteilungsklagen auch bei wenig bestimmter Fassung der Begehren an Hand genommen werden. Das Bundesrecht gebietet dies nicht, und es ist auch nicht in allen Kantonen üblich. Vollends darf an Klagen auf Vornahme einer Nachteilung nach formellem Abschluss der Erbteilung in dieser Hinsicht ein strenger Massstab angelegt werden. Das widerspricht keineswegs dem Bundesrecht, zumal selbst in gewöhnlichen Erbteilungsprozessen bei der Berufung an das Bundesgericht im einzelnen erklärt werden muss, welche Feststellung über den Umfang des Nachlasses getroffen und wie die Teilung geregelt werden soll ( BGE 75 II 256 ).</w:t>
      </w:r>
    </w:p>
    <w:p>
      <w:r>
        <w:rPr>
          <w:b/>
        </w:rPr>
        <w:t>E. 4</w:t>
      </w:r>
    </w:p>
    <w:p>
      <w:r>
        <w:t>Die vorliegende Klage dringt übrigens nicht einmal zu eigentlichen Ausgleichungs- und Herabsetzungsbegehren BGE 84 II 685 S. 696 vor. Eine Herabsetzungsklage ist darin nicht enthalten, und auf Ausgleichungsansprüche wird im zweiten Begehren, ohne dass sie dessen Gegenstand bilden würden, nur ganz allgemein angespielt. Es wird nicht die Ausgleichung bestimmter Vorempfänge, die genau zu bezeichnen wären, verlangt. Das Begehren geht auf Feststellungen tatsächlicher Art, ist also gar keine Feststellungsklage im Sinne des Bundesrechts. Im übrigen ist anerkannt, dass Feststellungsklagen zur Sicherung des Beweises für emen spätern Prozess nicht zulässig sind ( BGE 81 II 466 ). Vollends hat das erste Begehren nur vorbereitenden Charakter, indem es den Weg zur nachträglichen Erhebung erbrechtlicher Ansprüche freimachen will. Auch wenn man Begehren um Aufhebung von Verträgen bzw. um Feststellung ihrer Unverbindlichkeit an und für sich als zulässig erachtet, dürfen die Gerichte, ohne damit Bundesrecht zu verletzen, es ablehnen, eine Klage zu beurteilen, die sich auf ein solches als Grundlage zur Geltendmachung fälliger Forderungen oder anderer Ansprüche gestelltes Feststellungsbegehren beschränkt, statt diese Ansprüche in den Prozess einzubeziehen.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