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84 II 628</w:t>
      </w:r>
    </w:p>
    <w:p>
      <w:r>
        <w:t>Bundesgericht (BGE), 1958-01-01, DE</w:t>
      </w:r>
    </w:p>
    <w:p>
      <w:r>
        <w:rPr>
          <w:b/>
        </w:rPr>
        <w:t xml:space="preserve">Quelle: </w:t>
      </w:r>
      <w:r>
        <w:t>https://mcp.opencaselaw.ch/entscheid/bge_BGE_84_II_628</w:t>
      </w:r>
    </w:p>
    <w:p>
      <w:r>
        <w:t>FR: ATF 84 II 628</w:t>
      </w:r>
    </w:p>
    <w:p>
      <w:r>
        <w:t>IT: DTF 84 II 628</w:t>
      </w:r>
    </w:p>
    <w:p>
      <w:pPr>
        <w:pStyle w:val="Heading2"/>
      </w:pPr>
      <w:r>
        <w:t>Regeste</w:t>
      </w:r>
    </w:p>
    <w:p>
      <w:r>
        <w:t>Regeste Kauf gegen ratenweise Vorauszahlung. 1. Art. 1, 2, 184 OR. Der Vertrag ist selbst dann zustande gekommen, wenn die Parteien hinsichtlich des allfälligen Kaufpreisrestes auf die Teilzahlungsbedingungen des Verkäufers verweisen. Wenn solche im Geschäft des Verkäufers fehlen, setzt der Richter sie nach Recht und Billigkeit fest (Erw. 1). 2. Art. 20 OR, Art. 27 Abs. 2 ZGB. a) Sittenwidrige Einschränkung des Rechts des Käufers, die Kaufgegenstände zu Konkurrenzpreisen aus angemessenen Beständen auszuwählen? (Erw. 2). b) Macht die Möglichkeit, dass der Verkäufer seine Verpflichtungen nicht erfülle, den Kauf unsittlich? (Erw. 3).</w:t>
      </w:r>
    </w:p>
    <w:p>
      <w:r>
        <w:t>Regeste Achat avec paiement anticipé par acomptes. 1. Art. 1, 2 et 184 CO. Le contrat est conclu alors même que, pour un solde éventuellement dû sur le prix d'achat, les parties renvoient aux conditions de paiement partiel du vendeur. Lorsque de telles conditions ne sont pas établies, le juge les fixe selon le droit et l'équité (consid. 1). 2. Art. 20 CO et 27 al. 2 CC. a) Restriction immorale au droit qu'a l'acheteur de disposer d'un choix suffisant à des prix aussi favorables que ceux de la concurrence? (consid. 2). b) La possibilité que le vendeur ne remplisse pas ses obligations rend-elle la vente immorale? (consid. 3).</w:t>
      </w:r>
    </w:p>
    <w:p>
      <w:r>
        <w:t>Regesto Compera con pagamento rateale anticipato. 1. Art. 1, 2, 184 CO. Il contratto è concluso quand'anche, per un saldo eventuale che è ancora dovuto sul prezzo di acquisto, le parti rinviassero alle condizioni di pagamento parziale del venditore. Allorquando siffatte condizioni non sono stabilite, il giudice le determina secondo il diritto e l'equità (consid. 1). 2. Art. 20 CO e 27 cp. 2 CC. a) Limitazione immorale del diritto che ha il compratore di disporre di una scelta sufficiente a prezzi favorevoli quanto quelli della concorrenza? (consid. 2). b) La possibilità che il venditore non adempia i suoi obblighi rende immorale la vendita? (consid. 3).</w:t>
      </w:r>
    </w:p>
    <w:p>
      <w:pPr>
        <w:pStyle w:val="Heading2"/>
      </w:pPr>
      <w:r>
        <w:t>Erwägungen</w:t>
      </w:r>
    </w:p>
    <w:p>
      <w:r>
        <w:rPr>
          <w:b/>
        </w:rPr>
        <w:t>E. 1</w:t>
      </w:r>
    </w:p>
    <w:p>
      <w:r>
        <w:t>Die Klägerin macht geltend, der Vertrag sei nicht gültig zustande gekommen, weil die Parteien sich über die Teilzahlungsbedingungen nicht geeinigt hätten, zu denen BGE 84 II 628 S. 631 sie den Rest des Kaufpreises zu tilgen habe, wenn sie gemäss Ziffer 6 die Lieferung der Kaufsache verlange. Das trifft nicht zu. Eine Einigung liegt vor, denn die Parteien haben die "Teilzahlungsbedingungen der Möbel AG" als massgebend erklärt, also jene, welche die Beklagte in Abzahlungsgeschäften anzuwenden pflege. Fragen kann sich nur, ob es im Geschäfte der Beklagten solche Bedingungen wirklich gibt. Sollte das nicht zutreffen, so wären die gegenüber der Klägerin anzuwendenden Teilzahlungsbedingungen anhand des erwähnten Hinweises im Vertrage nicht bestimmbar. Dieser würde also insoweit eine Lücke aufweisen. Sie beträfe jedoch einen Nebenpunkt im Sinne des Art. 2 OR und stände daher der Verbindlichkeit des Vertrages nicht im Wege. Die Klägerin vermag zur Stützung ihrer gegenteiligen Auffassung nicht anzuführen, sie habe dem Rechte, die Kaufsache gegen Abzahlung des Restpreises vorzeitig zu beziehen, entscheidende Bedeutung beigemessen. Dieses Recht ist ihr im Vertrage ausdrücklich eingeräumt worden und mag für sie wesentlich gewesen sein. Die Einzelheiten der Teilzahlungen, die sie nach seiner Ausübung zu leisten haben wird (Höhe und Fälligkeit der Raten, Zuschläge für Kreditierung, Sicherstellung des ausstehenden Betrages durch Eigentumsvorbehalt usw.), können dennoch nebensächlich sein. In dem in BGE 84 II 266 ff. veröffentlichten Urteil hat denn auch das Bundesgericht in den Zahlungsbedingungen hinsichtlich eines Kaufpreisrestes Nebenpunkte gesehen. Dort war der Käufer schon nach Entrichtung eines Fünftels des Kaufpreises nicht mehr zu weiteren Vorauszahlungen verpflichtet, konnten also im Zeitpunkt der Lieferung vom Kaufpreis noch bis zu vier Fünfteln ausstehen. Im vorliegenden Falle kann der Rest höchstens drei Fünftel des ganzen Kaufpreises erreichen. Um so weniger kann gesagt werden, die Einzelheiten seiner Abzahlung hätten schon beim Abschluss des Vertrages festgelegt werden müssen. Sollten sie nicht auf Grund des Geschäftsbrauches der Beklagten bestimmbar sein und die Parteien sich über sie BGE 84 II 628 S. 632 auch nicht einigen können, so wird der Richter sie "nach der Natur des Geschäftes" festlegen ( Art. 2 Abs. 2 OR ), d.h. nach Recht und Billigkeit entscheiden ( Art. 4 ZGB ). Die Übung im Möbelhandel wird ihm Richtschnur sein.</w:t>
      </w:r>
    </w:p>
    <w:p>
      <w:r>
        <w:rPr>
          <w:b/>
        </w:rPr>
        <w:t>E. 2</w:t>
      </w:r>
    </w:p>
    <w:p>
      <w:r>
        <w:t>Die Klägerin macht geltend, ihr Recht, die Kaufgegenstände zu Konkurrenzpreisen auszuwählen, sei in einer gegen die guten Sitten verstossenden Weise eingeschränkt und der Vertrag sei daher nichtig ( Art. 20 Abs. 1 OR , Art. 27 Abs. 2 ZGB ). Den Verstoss gegen die guten Sitten sieht sie darin, dass ihr nicht zugestanden sei, die Kaufsachen ausser bei der Verkäuferin bei einer dem Schweizerischen Engros-Möbelfabrikantenverband angeschlossenen Firma auszuwählen, wie die Käufer in den in BGE 84 II 13 ff. und 266 ff. veröffentlichten Fällen es tun konnten. Sie macht geltend, sie sei hinsichtlich Auswahl und Preise der Willkür der Beklagten ausgeliefert. Dazu komme, dass das Vorzahlungsgeschäft der Beklagten im Verhältnis zu ihrem gesamten Umsatz einen immer grösser werdenden Raum einnehme. Die Beklagte werde dereinst an "Direktkunden" nicht mehr interessiert sein und es daher wagen können, nur noch wenige Standarttypen anzubieten und die Preise beliebig zu erhöhen. Das Kantonsgericht stellt indessen fest, dass die Beklagte ein sehr leistungfähiges Unternehmen hat und über eine sehr grosse Auswahl verfügt. Die Klägerin wird daher schon in den Ausstellungsräumen der Beklagten viele Möglichkeiten finden, Aussteuergegenstände auszuwählen. Die Befürchtung, in Zukunft werde es anders sein, weil die Beklagte sich immer mehr dem Vorzahlungsgeschäft zuwende, ist unbegründet. Die Klägerin hat in der Replik darauf hingewiesen, dass die Barzahler von 1950 bis 1957 von 69 auf 58% gesunken seien. Sie anerkennt somit die von der Beklagten vorgelegte Aufstellung, aus der sich das ergibt. Der gleichen Aufstellung ist indes auch zu entnehmen, dass der Anteil der Barzahler im Jahre 1953 auf 33% gefallen war und dann wieder ständig grösser wurde, BGE 84 II 628 S. 633 bis er 1957 58% erreichte. Nichts spricht also dafür, dass die Beklagte das Barzahlungsgeschäft mehr und mehr aufgebe. Ob und inwieweit dadurch die Wahlmöglichkeiten zu Ungunsten der Klägerin eingeschränkt und die Preise erhöht würden, kann deshalb dahingestellt bleiben, und es braucht auch nicht entschieden zu werden, ob die Möglichkeit des Eintritts dieser Tatbestände genügen würde, den Vertrag heute als unsittlich zu erklären. Der Klägerin ist auch nicht beizupflichten, wenn sie glaubt, sie dürfe Aussteuergegenstände nur aus den in den Räumen der Beklagten ausgestellten oder in deren Katalogen und Prospekten aufgeführten Modellen auswählen. Gewiss erwähnt der erste Satz der Ziffer 5 des Vertrages nur diese Möglichkeiten. Unter der gleichen Ziffer haben die Parteien jedoch festgehalten, dass auch die in den gedruckten Listen des Schweizerischen Engros-Möbelfabrikantenverbandes angegebenen Barzahlungspreise massgebend sein sollen. Der Hinweis auf diese Preise wäre sinnlos, wenn das Wahlrecht der Klägerin so eingeschränkt wäre, wie sie meint. Die Preise der in den Ausstellungsräumen der Beklagten stehenden Möbel sind laut Ziffer 5 des Vertrages dort angeschrieben, und die Preise der im Katalog der Klägerin aufgeführten Sachen sind in einem Anhang dazu genannt. Also gelten die den Listen des Schweizerischen Engros-Möbelfabrikantenverbandes zu entnehmenden Preise für Ware, die bei den Mitgliedern dieses Verbandes erhältlich ist und die Beklagte auf Wunsch der Klägerin daselbst zu beziehen und an die Klägerin abzugeben haben wird. Die Beklagte hat im kantonalen Verfahren denn auch anerkannt, es sei ihr jederzeit möglich, bei allen dem Schweizerischen Engros-Möbelfabrikantenverband angeschlossenen Fabriken Ware zu erhalten, und die Klägerin könne solche Ware aus den Katalogen dieser Fabriken auch auswählen. Bei dieser Erklärung ist sie zu behaften. Es trifft somit nicht zu, dass der Vertrag die Freiheit der Klägerin, die Kaufgegenstände zu Konkurrenzpreisen BGE 84 II 628 S. 634 aus angemessenen Beständen auszuwählen, in einer gegen die guten Sitten verstossenden Weise einschränke.</w:t>
      </w:r>
    </w:p>
    <w:p>
      <w:r>
        <w:rPr>
          <w:b/>
        </w:rPr>
        <w:t>E. 3</w:t>
      </w:r>
    </w:p>
    <w:p>
      <w:r>
        <w:t>Die Klägerin sieht einen Verstoss gegen die guten Sitten ferner darin, dass der Vertrag sie zur Verschiebung der Heirat nötigen oder wirtschaftlich zugrunde richten würde, wenn die Beklagte nicht liefern könnte oder wollte. Ob ein Vertrag den guten Sitten widerspricht, beurteilt sich nach seinem Inhalt ( BGE 84 II 27 , 277). Daher ist fraglich, ob die Lage, in die eine Patrei kommen könnte, wenn die andere leistungsunfähig werden, die Erfüllung verweigern oder in Verzug geraten sollte, jemals einen Vertrag unsittlich machen kann. Verträge werden abgeschlossen, um erfüllt zu werden, und die Rechte, die dem Gläubiger zustehen, wenn das nicht geschieht, sind in Art. 82, 83, 97 ff. und 102 ff. OR sowie in den Bestimmungen über die einzelnen Vertragsverhältnisse eingehend geordnet. Zudem sind Leistungsunfähigkeit, Erfüllungsverweigerung und Verzug, wie die Klägerin selber unterstellt, beim Abschluss des Vertrages noch ungewiss, während die Frage der Nichtigkeit nach dem Sachverhalt beurteilt werden muss, wie er im Zeitpunkt des Abschlusses besteht. Nur unter dem Gesichtspunkt einer von Anfang an bestehenden Gefahr könnten daher die erwähnten Verhältnisse für die Frage der Unsittlichkeit des Vertrages überhaupt eine Rolle spielen. Um in Betracht fallen zu können, müsste aber die Gefahr im einzelnen Falle konkret nachgewiesen sein. Die Klägerin hätte daher anhand von Tatsachen dartun müssen, dass die Möglichkeit der Leistungsunfähigkeit, der Erfüllungsverweigerung oder des Verzuges der Beklagten konkret bestehe; die bloss abstrakte Möglichkeit, die daraus abgeleitet wird, dass ein Möbelhändler einmal seinen Verpflichtungen nicht nachkommen könnte oder wollte, kann den vorliegenden Vertrag nicht unsittlich machen. Übrigens verstösst dieser auch schon deshalb nicht gegen die guten Sitten, weil die Klägerin zugunsten der Beklagten nur Fr. 600.-- vorauszuzahlen hat, während alle weiteren Zahlungen von der Schweizerischen BGE 84 II 628 S. 635 Volksbank auf einem gesperrten Sparheft gutzuschreiben sind, so dass die Klägerin für den grössten Teil ihrer Leistungen gesichert sein wird. Dass sie durch den Verlust von Fr. 600.-- wirtschaftlich zugrunde gerichtet wäre, tut sie nicht dar und ist angesichts ihres Alters und Berufes, der ihr zugegebenermassen ohne weiteres erlaubt, monatlich Fr. 50.- für den Erwerb von Möbeln aufzuwenden, nicht nachgewiesen. Wer finanzielle Verpflichtungen eingeht, verstösst nur dann gegen die guten Sitten, wenn er dadurch seine wirtschaftliche Existenz gefährdet ( BGE 51 II 167 f., BGE 84 II 23 , 277).</w:t>
      </w:r>
    </w:p>
    <w:p>
      <w:r>
        <w:rPr>
          <w:b/>
        </w:rPr>
        <w:t>E. 4</w:t>
      </w:r>
    </w:p>
    <w:p>
      <w:r>
        <w:t>Die Klägerin macht geltend, der Vertrag sei für sie jedenfalls wegen Irrtums (Art. 23 f. OR) und absichtlicher Täuschung ( Art. 28 OR ) unverbindlich, weil der Hinweis auf die gedruckten Preislisten des Schweizerischen Engros-Möbelfabrikantenverbandes in Ziffer 5 des Vertrages den Eindruck erwecken solle, sie könne aus den in diesen Listen enthaltenen Modellen auswählen, während sie die Auswahl in Wirklichkeit nur aus Modellen treffen könne, die im Lager der Beklagten ständen oder in ihren Prospekten aufgeführt seien. Diese Rüge ist schon deshalb unbegründet, weil Ziffer 5 des Vertrages in der Tat so auszulegen ist, wie die Klägerin sich vorgestellt haben will (Erw. 2). Wäre es anders, so verstiesse die Berufung auf Irrtum und Täuschung übrigens gegen Treu und Glauben, da die Beklagte bereit ist, den Vertrag so gelten zu lassen, wie ihn die Klägerin verstanden haben will ( Art. 25 OR ).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