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614</w:t>
      </w:r>
    </w:p>
    <w:p>
      <w:r>
        <w:t>Bundesgericht (BGE), 1958-01-01, DE</w:t>
      </w:r>
    </w:p>
    <w:p>
      <w:r>
        <w:rPr>
          <w:b/>
        </w:rPr>
        <w:t xml:space="preserve">Quelle: </w:t>
      </w:r>
      <w:r>
        <w:t>https://mcp.opencaselaw.ch/entscheid/bge_BGE_84_II_614</w:t>
      </w:r>
    </w:p>
    <w:p>
      <w:r>
        <w:t>FR: ATF 84 II 614</w:t>
      </w:r>
    </w:p>
    <w:p>
      <w:r>
        <w:t>IT: DTF 84 II 614</w:t>
      </w:r>
    </w:p>
    <w:p>
      <w:pPr>
        <w:pStyle w:val="Heading2"/>
      </w:pPr>
      <w:r>
        <w:t>Regeste</w:t>
      </w:r>
    </w:p>
    <w:p>
      <w:r>
        <w:t>Regeste Notweg, Art. 694 ZGB. Ein Grundeigentümer, der genügende Zufahrt zu den Hauseingängen hat, kann das Notwegrecht nicht verlangen, um in einer Remise im Hinterhaus ein Auto einstellen zu können, das für die Nutzung der Liegenschaft nicht notwendig ist.</w:t>
      </w:r>
    </w:p>
    <w:p>
      <w:r>
        <w:t>Regeste Passage nécessaire, art. 694 CC. Si un immeuble possède une issue suffisante conduisant aux entrées de la maison d'habitation, on ne peut exiger un droit de passage nécessaire pour pénétrer dans une remise située à l'arrière du bâtiment, en vue d'y garer une automobile dont on peut se passer pour exploiter le fonds.</w:t>
      </w:r>
    </w:p>
    <w:p>
      <w:r>
        <w:t>Regesto Accesso necessario, art. 694 CC. Se un fondo ha un accesso sufficiente alle entrate della casa d'abitazione, il suo proprietario non può pretendere un diritto di passo per allogare in unarimessa situata dietro il fabbricato un'automobile che non è necessaria per lo sfruttamento del fondo.</w:t>
      </w:r>
    </w:p>
    <w:p>
      <w:pPr>
        <w:pStyle w:val="Heading2"/>
      </w:pPr>
      <w:r>
        <w:t>Erwägungen</w:t>
      </w:r>
    </w:p>
    <w:p>
      <w:r>
        <w:rPr>
          <w:b/>
        </w:rPr>
        <w:t>E. 1</w:t>
      </w:r>
    </w:p>
    <w:p>
      <w:r>
        <w:t>Für die Bezifferung des Streitwertes ist auf das Interesse der Klägerinnen an der Einräumung des Wegrechts abzustellen ( BGE 80 II 314 f.). Nach ihrer Aussage besteht dieses Interesse darin, dass ihnen das Wegrecht eine Garagemiete von monatlich Fr. 25.- bis 30.- erspart. Nach Art. 36 Abs. 5 OG ist als Streitwert der zwanzigfache Jahresbetrag dieser Auslage einzusetzen, also Fr. 6000.-- bis 7200.--. Die Berufung ist mithin zulässig; es hat das schriftliche Verfahren stattzufinden ( Art. 46, Abs. 1 OG ).</w:t>
      </w:r>
    </w:p>
    <w:p>
      <w:r>
        <w:rPr>
          <w:b/>
        </w:rPr>
        <w:t>E. 3</w:t>
      </w:r>
    </w:p>
    <w:p>
      <w:r>
        <w:t>In faktisch-technischer Hinsicht entbehren die Klägerinnen zur Zeit einer genügenden Zufahrt zu ihrem als Garage benutzten Hausteil nicht, und auch künftig soll sie ihnen, falls nur im bisherigen Rahmen beansprucht, nach den Erklärungen der Beklagten offen stehen. Dagegen lehnen diese die Begründung sowohl eines dinglichen als BGE 84 II 614 S. 618 auch eines nur persönlichen und zeitlich beschränkten Rechts zum Befahren ihrer Hofecke ab. Insofern ist der Weg der Klägerinnen zu ihrer Garage, als lediglich prekaristisch, rechtlich ungenügend. Dass die Klägerinnen mit Leichtigkeit eine andere Garage mit Zufahrt auf eigenem Boden oder direkt von der öffentlichen Strasse her erstellen könnten, ist nicht erwiesen. Die Vorinstanz stellt, entgegen der Behauptung der Beklagten, fest, dass ein solcher Bau, falls überhaupt möglich, unverhältnismässig teuer zu stehen käme und schwere Nachteile in der Benützung des Hauptgebäudes, nämlich die Preisgabe des Ladens an der Strasse oder des Treppenhauses am Vorplatz, mit sich bringen würde. Unter solchen Umständen ist der Anspruch auf einen Notweg grundsätzlich gegeben. Nun setzt aber der Notweganspruch gemäss Art. 694 Abs. 1 ZGB voraus, dass das Grundstück als solches und als ganzes keinen genügenden Weg auf die öffentliche Strasse habe. Hat es diesen aber, so kann nicht verlangt werden, dass darüber hinaus irgend ein bestimmter Teil des Grundstückes bzw. namentlich der auf ihm stehenden Gebäude auf Kosten des Nachbars zugänglich gemacht werde. Die Liegenschaft der Klägerinnen hat eine Zu- und Abfahrt zur Dorfstrasse, da sie mit der Südfront des Wohn- und Geschäftshauses direkt an und auf gleichem Niveau mit dieser liegt und ausserdem auf der Westseite über den gemeinsamen Vorplatz bis vor die Haustüre mit jedem Fahrzeug zugänglich ist. Die Klägerinnen verlangen einen weitern Zugang, der ihnen die Einfahrt in die im hintern Teil des Hauses liegende Remise ermöglicht. Ein Begehren solcher Art ist nur begründet, wenn die rationelle Bewohnung und Bewirtschaftung der Liegenschaft mit den vorhandenen Zufahrten nicht möglich ist und den zusätzlichen Notweg erfordert. Dies ist z.B. der Fall, wenn wesentliche Teile eines Bauerngutes oder eines Fabrikbetriebes ohne eine besondere, nur durch Notweg mögliche Zufahrt nicht genützt werden können, wenn also der schon vorhandene Weg für die Nutzung des Gesamtgrundstückes nicht genügt BGE 84 II 614 S. 619 (vgl. LEEMANN N. 16, HAAB N. 17 zu Art. 694, GMÜR, Schweizerisches Zentralblatt für Staats- und Gemeindeverwaltung 16 S. 173 f.). Die Vorinstanz hat diese entscheidende Frage damit zu beantworten versucht, dass sie einfach erklärt, für eine Mehrzweckliegenschaft, wie sie hier in Frage stehe, sei eine Garage heutzutage durchaus notwendig. Dies geht im vorliegenden Falle zu weit. Es müsste festgestellt sein, dass in concreto für die Bewirtschaftung des Grundstückes ein Auto und die Möglichkeit, dieses auf dem eigenen Boden und zwar in einem bestimmten, bereits vorhandenen Lokal einzustellen, notwendig sind. Dies ist hier nicht dargetan. Mit dem von den Klägerinnen an Dritte verpachteten Konsumladen an der Strassenfront haben Auto und Garage offenbar nichts zu tun, jedenfalls ist etwas anderes weder bewiesen noch - zulässigerweise - behauptet worden; es ist auch nicht ersichtlich, inwiefern eine allfällige Erschwerung des Auf- und Abladens eines Autos vor dem Laden, zufolge Einbeziehung des schmalen Bodenstreifens vor demselben in die Strasse, durch die Zufahrt in die Garage im Hinterhause sollte kompensiert werden können. Für die wirtschaftliche Nutzung der Wohnräume, wozu auch das Bewohnen durch die Eigentümerinnen gehört, ist das Privatauto derselben gewiss angenehm, aber nicht unbedingt notwendig. Die Zufuhr von Brennmaterial, Lebensmitteln, die Zufahrt eines Taxis, eines Möbelwagens, eines Krankenautos usw. ist über den gemeinsamen Vorplatz bis vor die Haustür möglich. Das Interesse der Klägerinnen am verlangten Notweg besteht somit nur darin, dass es für sie eine Bequemlichkeit und eine finanzielle Erleichterung ist, wenn sie ihr privates, für die Grundstücksbewirtschaftung nicht erforderliches Auto in der unter dem eigenen Dache befindlichen, aber nur über den Hof des Nachbars zugänglichen Remise versorgen können. Dass sie aus Erwerbsgründen ein Auto halten müssen, dass der fragliche Raum nicht auch anderswie nützlich zu verwenden wäre, dass etwa Ladenpächter, Mieter oder Gäste BGE 84 II 614 S. 620 je dort eine Garage beansprucht hätten, ist nicht behauptet, jedenfalls nicht festgestellt. Damit soll immerhin nicht gesagt sein, dass nur ein aus Erwerbsgründen gehaltenes Auto einen Notweganspruch zu begründen vermöge, also nur drohende "Not" im engern, wirtschaftlichen Sinne in Betracht käme; es lassen sich durchaus Fälle denken, wo der Grundeigentümer für ein ihm bloss zur Bequemlichkeit oder zum Vergnügen dienendes Auto einen Zugang zu seiner Liegenschaft muss beanspruchen können, nämlich wenn er überhaupt keinen solchen hat, nicht aber nur um es an einer ungeschickt gelegenen Stelle der Liegenschaft auch garagieren zu können. Dass die ablehnende Haltung der Beklagten rechtmissbräuchlich wäre, trifft nicht zu. Wohl erscheint es als recht und billig, dass die Klägerinnen die bisherige Benützung der Hofecke zur Ein- und Ausfahrt, mit der sie offenbar die Beklagten - angesichts der Grösse des Hofes - in keiner Weise beeinträchtigen, weiterhin im gleichen Rahmen ausüben können, was ihnen die Beklagten in der Berufungsschrift neuerdings auf Zusehen hin zugesichert haben. Ein dingliches Fahrwegrecht im Sinne von Art. 694 ZGB aber wäre ein erheblicher, dauernder Eingriff in das Grundeigentum der Beklagten; es könnte baulichen oder betrieblichen Veränderungen, die sie oder spätere Rechtsnachfolger als notwendig erachten würden, entgegenstehen und würde damit die Liegenschaft entwerten. Ein solcher Eingriff ist ihnen - ebenfalls unter dem Gesichtspunkt von Recht und Billigkeit - nicht zuzumuten, wenn, nach dem Gesagten, dieser Notweg für die Klägerinnen weder ein wirtschaftliches noch ein anderes dringendes Bedürfnis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