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57</w:t>
      </w:r>
    </w:p>
    <w:p>
      <w:r>
        <w:t>Bundesgericht (BGE), 1958-01-01, IT</w:t>
      </w:r>
    </w:p>
    <w:p>
      <w:r>
        <w:rPr>
          <w:b/>
        </w:rPr>
        <w:t xml:space="preserve">Quelle: </w:t>
      </w:r>
      <w:r>
        <w:t>https://mcp.opencaselaw.ch/entscheid/bge_BGE_84_II_57</w:t>
      </w:r>
    </w:p>
    <w:p>
      <w:r>
        <w:t>FR: ATF 84 II 57</w:t>
      </w:r>
    </w:p>
    <w:p>
      <w:r>
        <w:t>IT: DTF 84 II 57</w:t>
      </w:r>
    </w:p>
    <w:p>
      <w:pPr>
        <w:pStyle w:val="Heading2"/>
      </w:pPr>
      <w:r>
        <w:t>Regeste</w:t>
      </w:r>
    </w:p>
    <w:p>
      <w:r>
        <w:t>Regeste Nichtigkeitsbeschwerde gegen selbständige Entscheide über die Zuständigkeit (Art. 68 Abs. 2 OG). 1. Zulässigkeit der Beschwerde (Erw. 1). 2. Zuständigkeit der kantonalen Gerichte zur Beurteilung von Streitigkeiten aus einem in der Schweiz abgeschlossenen Mietvertrag, wenn der Beklagte - ein italienischer Staatsangehöriger - im Zeitpunkt der Klageerhebung keinen Wohnsitz in der Schweiz hat (Erw. 2).</w:t>
      </w:r>
    </w:p>
    <w:p>
      <w:r>
        <w:t>Regeste Recours en nullité contre des décisions prises séparément au sujet de la compétence (art. 68 al. 2 OJ). 1. Recevabilité du recours (consid. 1). 2. Compétence des tribunaux cantonaux pour statuer sur des litiges relatifs à un bail à loyer passé en Suisse, lorsque le défendeur - citoyen italien - n'est plus domicilié en Suisse au moment de l'introduction de l'action (consid. 2).</w:t>
      </w:r>
    </w:p>
    <w:p>
      <w:r>
        <w:t>Regesto Ricorso per nullità contro decisioni separate sulla competenza a statuire (art. 68 cp. 2 OG). 1. Ammissibilitá del ricorso (consid. 1). 2. Competenza dei tribunali cantonali a statuire su contestazioni relative a un contratto di locazione concluso in Svizzera, quando il convenuto - cittadino itah.ano - non era domiciliato in Svizzera al momento del promovimento della causa (consid. 2).</w:t>
      </w:r>
    </w:p>
    <w:p>
      <w:pPr>
        <w:pStyle w:val="Heading2"/>
      </w:pPr>
      <w:r>
        <w:t>Erwägungen</w:t>
      </w:r>
    </w:p>
    <w:p>
      <w:r>
        <w:rPr>
          <w:b/>
        </w:rPr>
        <w:t>E. 1</w:t>
      </w:r>
    </w:p>
    <w:p>
      <w:r>
        <w:t>La sentenza impugnata costituisce una decisione separata sulla competenza in una causa che non potrà essere deferita al Tribunale federale mediante ricorso per riforma a motivo del suo valore litigioso insufficiente. Ora, contro decisioni di questa natura il ricorso per nullità è per sè ammissibile conformemente all' art. 68 cp . 2 OG. Trattasi inoltre di una decisione cantonale, emanata in ultima istanza e riguardante un procedimento civile nel senso dell' art. 68 cp . 1 OG. Infatti, oggetto del processo è una pretesa fondata su un contratto di locazione a norma del CO. Ne segue che il presente gravame è ammissibile.</w:t>
      </w:r>
    </w:p>
    <w:p>
      <w:r>
        <w:rPr>
          <w:b/>
        </w:rPr>
        <w:t>E. 2</w:t>
      </w:r>
    </w:p>
    <w:p>
      <w:r>
        <w:t>Sebbene il ricorrente non lo dica espressamente, risulta dalla motivazione del gravame che egli invoca, a sostegno della domanda d'annullamento della sentenza impugnata, non già la lettera a dell' art. 68 cp . 1 OG, bensì BGE 84 II 57 S. 61 la lettera b, la violazione cioè di prescrizioni del diritto federale (art. 59 CF) e dei trattati internazionali conclusi dalla Confederazione sulla competenza delle autorità per territorio. A questo proposito, occorre avantutto considerare quanto segue. In assenza di prescrizioni di diritto internazionale, spetta ai singoli Stati stabilire in quali casi intendano affermare la competenza dei propri tribunali a giudicare contestazioni che si riallacciano territorialmente a più Stati e in quali casi siano invece disposti a riconoscere, per tali contestazioni, la giurisdizione straniera. La situazione, nel campo della procedura civile internazionale, è cioè identica a quella che si presenta nel campo del diritto internazionale privato. In Svizzera, spetta ai Cantoni emanare le norme di procedura civile che devono essere applicate al giudizio delle contestazioni che in virtù delle leggi federali e dei trattati internazionali conclusi dalla Confederazione non sono riservate a un'altra giurisdizione. Ne segue che da noi il diritto processuale civile internazionale è di massima diritto cantonale e, inoltre, che esistono da noi tanti diritti processuali internazionali quanti sono i Cantoni. In queste circostanze, si tratta qui esclusivamente di esaminare se, ritenendosi competenti a statuire sulla contestazione che oppone il dott. Gnoli alla sua precedente locatrice di Locarno in applicazione degli art. 15 e 30/31 PCT, le autorità ticinesi abbiano effettivamente violato prescrizioni del diritto federale o dei trattati internazionali conclusi dalla Confederazione. a) In primo luogo, la censura di violazione dell'art. 59 CF è irricevibile in questa sede. Giusta l' art. 68 cp . 1 lett. b ultima frase OG, la violazione dell'art. 59 CF può infatti essere allegata unicamente mediante ricorso di diritto pubblico. .. b) Con ragione il ricorrente non pretende che al disciplinamento della competenza dei tribunali per territorio, BGE 84 II 57 S. 62 qual'è sancita dalla PCT nei confronti degli stranieri non domiciliati nel Cantone o in Svizzera, si opporrebbero altre prescrizioni di diritto federale. Rimane dunque solo da esaminare se il foro del luogo in cui l'obbligazione fu contratta o doveva essere eseguita non possa essere riconosciuto, in concreto, perchè vi si opporrebbero i due trattati internazionali citati dal ricorrente. A questo riguardo, occorre distinguere tra convenzioni internazionali che hanno per oggetto il disciplinamento della competenza giudiziaria in senso proprio e quelle che concernono esclusivamente le condizioni poste al riconoscimento e all'esecuzione da parte di uno Stato contraente delle sentenze pronunciate dall'altro Stato contraente (cfr., tra l'altro, RU 76 II 250 e GULDENER, Das internationale und interkantonale Zivilprozessrecht der Schweiz, pag. 118/119 sgg.). Mediante le prime, due Stati convengono reciproche limitazioni della propria competenza giudiziaria, con l'effetto che in luogo e vece del foro giurisdizionale previsto dalla legge nazionale vale esclusivamente quello indicato nel trattato. Mediante le seconde, i due Stati contraenti si occupano - appunto - delle condizioni cui intendono sottoporre il riconoscimento e l'esecuzione delle rispettive sentenze, impregiudicato il diritto dei due Stati di applicare, per il giudizio, le norme di competenza giurisdizionale proprie. aa) Se si tien conto di quanto precede, non si può fare a meno di rilevare che già il trattato di domicilio e consolare tra la Svizzera e l'Italia, del 22 luglio 1868, è qui invocato a torto. Infatti, detto trattato disciplina questioni di competenza giudiziaria solo nel suo art. 17 e questo disposto concerne esclusivamente il foro in caso di contestazioni ereditarie. Il ricorrente nemmeno pretende che il trattato conterrebbe altre disposizioni in materia di foro in genere o una prescrizione relativa al riconoscimento del foro del domicilio per debitori convenuti in seguito a un rapporto giuridico di natura personale, in particolare. Certo è che non possono segnatamente essere ritenuti tali BGE 84 II 57 S. 63 gli art. 3 e 6 del trattato (cfr., per ciò che riguarda l'art. 3, RU 23 I 591 consid. 3). bb) Manifestamente a torto il ricorrente invoca poi la Convenzione tra l'Italia e la Svizzera, del 3 gennaio 1933, circa il riconoscimento e l'esecuzione delle decisioni giudiziarie. Conformemente a quanto è stato esposto più sopra, convenzioni di questa natura non incidono infatti per nulla sul diritto di uno Stato di stabilire, nell'ambito del suo diritto processuale internazionale proprio, in quali casi e a quali condizioni i suoi tribunali siano competenti a giudicare una contestazione loro sottoposta. Certo, la questione della competenza riveste pure in tali convenzioni importanza, nel senso che da essa dipenderanno tra l'altro il riconoscimento e l'esecuzione in uno Stato di una sentenza pronunciata nell'altro. Cionondimeno, ciascun Stato rimane libero di decidere, in base alle norme di procedura propria, se la competenza dei suoi tribunali sia data o meno per statuire su una causa determinata (cfr. GULDENER, op.cit. pag. 119/120 e 133 lett. C num. I). Non giovano al ricorrente, per giustificare una tesi contraria, le citazioni di passaggi diversi del messaggio del Consiglio federale relativo all'approvazione della Convenzione del 1933. In realtà, proprio la frase citata dal ricorrente, secondo cui la nuova convenzione non è "un traité réglementant la compétence mais une convention d'exécution" basta a demolire la sua tesi. Così stando le cose, non occorre esaminare più da vicino gli argomenti che il ricorrente vorrebbe trarre da talune opinioni della dottrina circa il senso e la portata delle convenzioni internazionali. Nella misura in cui non si riferiscono alle condizioni poste al riconoscimento e all'esecuzione delle sentenze, tali opinioni sono lungi dall'essere unanimi. Ciò vale segnatamente per l'affermazione che il criterio del domicilio per l'accertamento del foro sarebbe generalmente riconosciuto nel diritto internazionale privato (cfr., per esempio, l'opinione di GULDENER, op.cit. pag. 82 nota 169, secondo cui tale criterio - generalizzato BGE 84 II 57 S. 64 - condurrebbe, nel campo internazionale, a difficoltà pratiche e, inoltre, a soluzioni poco sodisfacenti sotto l'aspetto dell'equità). Dispositiv Il Tribunale federale pronuncia: In quanto ricevibile,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