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515</w:t>
      </w:r>
    </w:p>
    <w:p>
      <w:r>
        <w:t>Bundesgericht (BGE), 1958-01-01, DE</w:t>
      </w:r>
    </w:p>
    <w:p>
      <w:r>
        <w:rPr>
          <w:b/>
        </w:rPr>
        <w:t xml:space="preserve">Quelle: </w:t>
      </w:r>
      <w:r>
        <w:t>https://mcp.opencaselaw.ch/entscheid/bge_BGE_84_II_515</w:t>
      </w:r>
    </w:p>
    <w:p>
      <w:r>
        <w:t>FR: ATF 84 II 515</w:t>
      </w:r>
    </w:p>
    <w:p>
      <w:r>
        <w:t>IT: DTF 84 II 515</w:t>
      </w:r>
    </w:p>
    <w:p>
      <w:pPr>
        <w:pStyle w:val="Heading2"/>
      </w:pPr>
      <w:r>
        <w:t>Regeste</w:t>
      </w:r>
    </w:p>
    <w:p>
      <w:r>
        <w:t>Regeste 1. Art. 23, 197 OR. Der Käufer hat die Wahl, sich auf die Normen über die Gewährleistung wegen Mängel der Kaufsache zu berufen oder den Vertrag wegen Irrtums als unverbindlich zu erklären. 2. Art. 24 Abs. 1 Ziff. 4 OR. Grundlagenirrtum des Käufers, hervorgerufen durch Angaben des Verkäufers über die Leistungsfähigkeit der Kaufsache und den mit ihr erzielbaren Verdienst.</w:t>
      </w:r>
    </w:p>
    <w:p>
      <w:r>
        <w:t>Regeste 1. Art. 23 et 197 CO. L'acheteur peut, à son gré, soit invoquer les dispositions légales sur la garantie en raison des défauts de la chose, soit déclarer le contrat nul pour cause d'erreur. 2. Art. 24 al. 1 ch. 4 CO. Erreur de l'acheteur sur des éléments essentiels du contrat, causée par des renseignements émanant du vendeur et relatifs à la productivité de la chose vendue et au gain que l'on en pourrait tirer.</w:t>
      </w:r>
    </w:p>
    <w:p>
      <w:r>
        <w:t>Regesto 1. Art. 23 e 197 CO. Il compratore può, a sua scelta, sia invocare le disposizioni legali sulla garanzia per i difetti della cosa, sia dichiarare nullo il contratto per causa di errore. 2. Art. 24 cp. 1 num. 4 CO. Errore del compratore su elementi essenziali del contratto, provocato da informazioni del venditore relative alla produttività della cosa venduta e al guadagno che potrebbe essere conseguito con essa.</w:t>
      </w:r>
    </w:p>
    <w:p>
      <w:pPr>
        <w:pStyle w:val="Heading2"/>
      </w:pPr>
      <w:r>
        <w:t>Erwägungen</w:t>
      </w:r>
    </w:p>
    <w:p>
      <w:r>
        <w:rPr>
          <w:b/>
        </w:rPr>
        <w:t>E. 1</w:t>
      </w:r>
    </w:p>
    <w:p>
      <w:r>
        <w:t>Das Bundesgericht hat stets entschieden, dass der Käufer die Wahl hat, sich auf die Bestimmungen über die Gewährleistung wegen Mängel der Kaufsache zu berufen oder den Kaufvertrag wegen Irrtums als unverbindlich BGE 84 II 515 S. 518 zu erklären ( BGE 82 II 240 ff. und dort angeführte Urteile, ferner BGE 83 II 21 ). An dieser Rechtsprechung ist festzuhalten. Wie sehr sie gerechtfertigt ist, zeigt gerade der vorliegende Fall. Um Mängelrüge erheben und Wandelung des Kaufes verlangen zu können ( Art. 201, 205 OR ), müsste der Kläger der Beklagten nochmals Fr. 9000.-- zahlen, die Anlage in Empfang nehmen und einrichten und die zu ihrem Betriebe erforderlichen weiteren Vorkehren treffen, z.B. für Ableitung der Gase gemäss bau- und gesundheitspolizeilichen Vorschriften sorgen. Anfechtung des Vertrages nach Art. 23 ff. OR macht dieses kostspielige Vorgehen überflüssig; denn der Käufer kann sich auf seinen Irrtum berufen, bevor er die Kaufsache in Empfang genommen und geprüft hat. Es liegt im Interesse beider Parteien, dass diese unnütze Weiterung unterbleibe.</w:t>
      </w:r>
    </w:p>
    <w:p>
      <w:r>
        <w:rPr>
          <w:b/>
        </w:rPr>
        <w:t>E. 2</w:t>
      </w:r>
    </w:p>
    <w:p>
      <w:r>
        <w:t>Die Beklagte wendet sich zu Unrecht gegen die Feststellung des Obergerichts, wonach eine zehn- bis vierzehntägige Lehrzeit nicht genüge, um den Betrieb führen zu können, den der Kläger hat eröffnen wollen. Diese Feststellung betrifft tatsächliche Verhältnisse und bindet daher das Bundesgericht, da sie weder in Verletzung bundesrechtlicher Beweisvorschriften zustande gekommen ist noch offensichtlich auf Versehen beruht ( Art. 63 Abs. 2 OG ). Indem die Beklagte unter Berufung auf Zeugenaussagen vorbringt, zahlreiche Personen des in Frage stehenden Zweiges hätten schon nach kurzem Umschulungskurs ein solches Geschäft eröffnet und damit Erfolg gehabt, beanstandet sie die Beweiswürdigung. Das ist im Berufungsverfahren vor dem Bundesgericht nicht zulässig. Geht man davon aus, dass der Kläger nach einer Lehrzeit von nur zehn bis vierzehn Tagen das Geschäft nicht erfolgreich hätte führen können, sondern dazu einer Ausbildung von mindestens zwei bis drei Jahren bedurft hätte, so war der Irrtum, in den ihn die Beklagte durch ihre unrichtige Angabe versetzt hat, wesentlich im Sinne des Art. 23 OR . Gewiss betraf dieser Irrtum einen Beweggrund BGE 84 II 515 S. 519 zum Vertragsabschluss. Art. 24 Abs. 2 OR , wonach der Irrtum nicht wesentlich ist, wenn er sich nur auf den Beweggrund bezieht, kennt jedoch in Art. 24 Abs. 1 Ziff. 4 OR eine Ausnahme ( BGE 48 II 238 , BGE 53 II 38 , 139, BGE 56 II 427 ). Nach dieser Bestimmung ist nicht gebunden, wer sich über einen bestimmten Sachverhalt geirrt hat, der ihm notwendige Grundlage des Vertrages war und bei objektiver Betrachtung, nach Treu und Glauben im Geschäftsverkehr, sein durfte ( BGE 43 II 779 ff., BGE 47 II 89 ff., BGE 49 II 493 f., BGE 53 II 39 , 139 f., BGE 56 II 426 , BGE 82 II 424 , BGE 83 II 22 f.). Diese Voraussetzung ist erfüllt. Der Kläger als Laie durfte die Angaben der fachkundigen Beklagten nach Treu und Glauben als Grundlage des Vertrages betrachten, da die Beklagte sie machte, um ihn zum Abschluss des Vertrages zu bewegen.</w:t>
      </w:r>
    </w:p>
    <w:p>
      <w:r>
        <w:rPr>
          <w:b/>
        </w:rPr>
        <w:t>E. 3</w:t>
      </w:r>
    </w:p>
    <w:p>
      <w:r>
        <w:t>Der Auffassung des Obergerichts, der Kläger habe sich über die Rentabilität des zu gründenden Geschäftes geirrt, hält die Beklagte entgegen, die in ihrer "Annahme" genannten Zahlen liessen sich nicht ohne weiteres als unrichtig bezeichnen, denn der Kläger habe ja noch gar nicht versucht, mit der Anlage zu arbeiten. Was die Leistungsfähigkeit der Maschine betreffe, könnten die Berechnungen der beiden Sachverständigen möglicherweise theoretisch richtig sein, doch ständen sie mit der Praxis im Widerspruch, da alle Zeugen erklärten, dass sie die im Prospekt angegebenen Leistungen unschwer herausbrächten. Mit diesen Anbringen versucht die Beklagte die Vorstellungen, die der Kläger sich machte, als richtig hinzustellen, den Irrtum also zu widerlegen. Das ist unzulässige Beanstandung der Beweiswürdigung und daher nicht zu hören. Das Bundesgericht ist an die Feststellungen gebunden, die das Obergericht auf Grund der beiden Gutachten gemacht hat, dahin lautend, dass teils wegen periodisch flauen Geschäftsganges, teils wegen geringerer Leistungsfähigkeit der Maschine mit der verkauften Anlage nicht ein Jahresverdienst von Fr. 28'600.-- erzielt BGE 84 II 515 S. 520 werden kann, wie der Kläger auf Grund der Angaben der Beklagten glaubte, sondern bestenfalls ein solcher von etwa Fr. 6000.--. Aus diesen Feststellungen ergibt sich, dass der Kläger sich auch in dieser Hinsicht im Sinne von Art. 24 Abs. 1 Ziff. 4 OR in einem wesentlichen Irrtum befunden hat, als er den Vertrag abschloss. Die Beklagte geht am Kern der Sache vorbei, wenn sie einwendet, sie habe dem Kläger gar nicht einen bestimmten Umsatz fest zusichern können, da sie ihm nicht ein Geschäft, sondern nur Maschinen verkauft habe; sie habe dem Kläger nur die sich bietende Möglichkeit zeigen wollen; er hätte sich selbstverständlich die Kundschaft erst noch durch Fleiss und Tüchtigkeit erschaffen müssen; auch hätte er nicht alles, was ihm die Beklagte erzählte, für bare Münze nehmen sollen; er hätte ihre Behauptungen ohne grosse Mühe überprüfen können; sie seien ohne weiteres berechtigt gewesen, da die Praxis sogar gewagte Behauptungen zulasse. Es geht weder um die Frage, ob die Beklagte den Kläger absichtlich getäuscht oder sogar im strafrechtlichen Sinne betrogen hat, noch um die Frage, ob er ihren unrichtigen Angaben hätte misstrauen sollen. Tatsache ist, dass er sich auf sie verlassen und dass seine unzutreffende Vorstellung ihn zum Kaufe bewogen hat. Der Irrtum bezog sich auf den Beweggrund, betraf aber einen Sachverhalt, den der Kläger nach Treu und Glauben im Geschäftsverkehr als notwendige Grundlage des Vertrages betrachten durfte, nachdem die Beklagte selber darauf ausgegangen war, durch Angaben über die Leistungsfähigkeit der Maschine und den angeblich erzielbaren Jahresverdienst im Kläger die betreffende Vorstellung zu erwecken und ihn dadurch zum Abschluss des Vertrages zu bewegen. Wer die Aussicht auf eine "selbständige Existenz" als Lockmittel für die Werbung von Käufern gebraucht und durch rechnerische Angaben von der Art der vorliegenden untermauert, muss sich, mag er selber gut- oder bösgläubig sein, bei seinen "Annahmen" behaften BGE 84 II 515 S. 521 lassen, wenn der andere durch sie in die Irre geführt und zum Abschluss des Vertrages bewogen wird. Der Kläger durfte sich um so mehr auf die Angaben der Beklagten verlassen und sie als Grundlage des Vertrages betrachten, als die Beklagte fachkundig ist, während er selber die nötige Erfahrung nicht besass.</w:t>
      </w:r>
    </w:p>
    <w:p>
      <w:r>
        <w:rPr>
          <w:b/>
        </w:rPr>
        <w:t>E. 4</w:t>
      </w:r>
    </w:p>
    <w:p>
      <w:r>
        <w:t>Ist der Vertrag für den Kläger schon aus den in Erwägungen 2 und 3 dargelegten Gründen unverbindlich und die Klage daher mit Recht gutgeheissen worden, so kann dahingestellt bleiben, ob der Kläger sich beim Vertragsabschluss auch über das Kapital, das er zur Gründung des Geschäftes benötigen würde, in einem wesentlichen Irrtum befunden hat. Von selbst versteht sich das nicht, da der Kläger schon aus dem vereinbarten Kaufpreis, zu dem die Kosten der Einrichtung noch hinzugekommen wären, erkennen konnte, dass die im Inserat der Beklagten enthaltene Angabe über den Kapitalbedarf unzuverlässig war.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