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484</w:t>
      </w:r>
    </w:p>
    <w:p>
      <w:r>
        <w:t>Bundesgericht (BGE), 1958-01-01, DE</w:t>
      </w:r>
    </w:p>
    <w:p>
      <w:r>
        <w:rPr>
          <w:b/>
        </w:rPr>
        <w:t xml:space="preserve">Quelle: </w:t>
      </w:r>
      <w:r>
        <w:t>https://mcp.opencaselaw.ch/entscheid/bge_BGE_84_II_484</w:t>
      </w:r>
    </w:p>
    <w:p>
      <w:r>
        <w:t>FR: ATF 84 II 484</w:t>
      </w:r>
    </w:p>
    <w:p>
      <w:r>
        <w:t>IT: DTF 84 II 484</w:t>
      </w:r>
    </w:p>
    <w:p>
      <w:pPr>
        <w:pStyle w:val="Heading2"/>
      </w:pPr>
      <w:r>
        <w:t>Regeste</w:t>
      </w:r>
    </w:p>
    <w:p>
      <w:r>
        <w:t>Regeste Mit der Berufung an das Bundesgericht kann entgegen BGE 49 II 151 auch im Falle der Entziehung der elterlichen Gewalt nicht gerügt werden, dass der Entscheid der Vorinstanz kantonale Verfahrensvorschriften verletze. Das kantonale Recht kann für die Entziehung der elterlichen Gewalt ein Verwaltungsverfahren vorsehen und hat ausschliesslich darüber zu bestimmen, ob die zuständigen Behörden auf Informationsberichte abstellen dürfen oder die Gewährspersonen als Zeugen verhören müssen. Fehlen einer den Anforderungen von Art. 55 lit. c OG genugenden Berufungsbegründung.</w:t>
      </w:r>
    </w:p>
    <w:p>
      <w:r>
        <w:t>Regeste Recours en réforme au Tribunal fédéral. Contrairement à l'arrêt paru dans RO 49 II 151, on ne saurait, même en cas de retrait de la puissance paternelle, reprocher au jugement attaqué de violer des dispositions cantonales de procédure. Il est loisible au droit cantonal de prévoir une procédure administrative pour le retrait de la puissance paternelle; lui seul prescrit si l'autorité compétente peut se contenter de rapports écrits ou si elle doit entendre comme témoins les personnes qui ont donné des renseignements. Défaut de motifs suffisants au sens de l'art. 55 litt. c OJ).</w:t>
      </w:r>
    </w:p>
    <w:p>
      <w:r>
        <w:t>Regesto Ricorso per riforma al Tribunale federale. Contrariamente a quanto fu detto nella sentenza pubblicata nella RU 49 II 151, non è possibile, nemmeno in caso di privazione della potestà dei genitori, rimproverare alla sentenza impugnata di violare prescrizioni cantonali di procedura. Il diritto cantonale può prevedere una procedura amministrativa per la privazione della potestà dei genitori; e spetta esclusivamente a detto diritto decidere se l'autorità competente possa accontentarsi di rapporti scritte o se essa debba sentire come testi le persone che hanno dato informazioni. Mancanza di motivi sufficienti giusta l'art. 55 lett. c OG.</w:t>
      </w:r>
    </w:p>
    <w:p>
      <w:pPr>
        <w:pStyle w:val="Heading2"/>
      </w:pPr>
      <w:r>
        <w:t>Erwägungen</w:t>
      </w:r>
    </w:p>
    <w:p>
      <w:r>
        <w:rPr>
          <w:b/>
        </w:rPr>
        <w:t>E. 1</w:t>
      </w:r>
    </w:p>
    <w:p>
      <w:r>
        <w:t>Nach Art. 55 lit. c OG soll die Begründung der Berufungsanträge, die in der Berufungsschrift enthalten sein muss, kurz darlegen, welche Bundesrechtssätze und inwiefern sie durch den angefochtenen Entscheid verletzt sind. Ausführungen, die sich gegen die tatsächlichen Feststellungen richten, sowie Erörterungen über die Verletzung kantonalen Rechts sind nach dem zweiten Satze dieser Bestimmung unzulässig. Diese Grundsätze gelten auch für die in Art. 44 lit. b OG vorgesehene Berufung gegen Entscheide über die Entziehung und Wiederherstellung der elterlichen Gewalt. InBGE 49 II 151steht freilich u.a., die zivilrechtliche Beschwerde (die unter dem frühern OG das ordentliche Rechtsmittel für die Weiterziehung solcher Entscheide an das Bundesgericht war) sei zulässig, wenn sie sich auf Verletzung von Verfahrensvorschriften im Sinne von Art. 288 ZGB berufe, womit nur die gemäss Art. 288 Abs. 1 ZGB von den Kantonen erlassenen Verfahrensvorschriften gemeint sein konnten. Diese (vom Berufungskläger nicht BGE 84 II 484 S. 486 angerufene) Bemerkung ist jedoch auf ein redaktionelles Versehen zurückzuführen. Weder aus Art. 288 ZGB , wonach die Kantone das bei der Entziehung und der Wiederherstellung der elterlichen Gewalt zu beobachtende Verfahren ordnen (Abs. 1) und die Weiterziehung an das Bundesgericht vorbehalten bleibt (Abs. 2), noch aus irgend einer andern Vorschrift des Bundesrechts lässt sich ableiten, dass in solchen Angelegenheiten mit dem für die Weiterziehung an das Bundesgericht zur Verfügung stehenden ordentlichen Rechtsmittel in Abweichung von Art. 43 OG bzw. Art. 94 in Verbindung mit Art. 57 des frühern OG ausnahmsweise nicht bloss die Verletzung von Bundesrecht, sondern auch diejenige kantonaler Verfahrensvorschriften geltend gemacht werden könne.</w:t>
      </w:r>
    </w:p>
    <w:p>
      <w:r>
        <w:rPr>
          <w:b/>
        </w:rPr>
        <w:t>E. 2</w:t>
      </w:r>
    </w:p>
    <w:p>
      <w:r>
        <w:t>Im vorliegenden Falle besteht der grösste Teil der Berufungsbegründung darin, dass die tatsächlichen Feststellungen der Vorinstanz und die ihnen zugrunde liegenden Berichte und Auskünfte als unrichtig hingestellt werden, was nach dem Gesagten unzulässig ist. Die übrigen Ausführungen des Berufungsklägers bemängeln das von den kantonalen Instanzen durchgeführte Verfahren. Dieser Teil der Berufungsbegründung ist deshalb unbeachtlich, weil über die Verfahrensfragen, auf welche sich die Rügen des Berufungsklägers beziehen, keine bundesrechtlichen Vorschriften bestehen, die durch den angefochtenen Entscheid verletzt sein könnten, sondern das Bundesrecht die Regelung dieser Fragen dem kantonalen Recht überlassen hat, dessen Anwendung das Bundesgericht nicht überprüfen kann. Insbesondere steht es den Kantonen (die gemäss Art. 54 Abs. 1 SchlT die "zuständige Behörde" im Sinne von Art. 285 ZGB zu bestimmen haben), gemäss Art. 54 Abs. 2 und 3 SchlT sowie Art. 288 ZGB frei, statt eines gerichtlichen ein Verwaltungsverfahren vorzusehen, und bestimmt sich ausschliesslich nach kantonalem Recht, was als "rechtsgültiger Beweis" anzusehen ist. Das kantonale Recht kann den von ihm als zuständig bezeichneten Behörden gestatten, BGE 84 II 484 S. 487 auf Informationsberichte abzustellen, wie sie hier vorliegen. Das Bundesrecht enthält keine Vorschrift, aus der sich ergäbe, dass die Gewährspersonen als Zeugen zu verhören seien und dass dem Beweisgegner gestattet sein müsse, ihrem Verhör beizuwohnen und dabei Ergänzungsfragen zu stellen. - Ob das durchgeführte Ermittlungsverfahren den massgebenden Sachverhalt genügend zuverlässig abgeklärt habe oder ob weitere Erhebungen (z.B. die Befragung der vom Berufungskläger erwähnten Ärzte) am Platze gewesen wären, ist eine Frage der Beweiswürdigung, über welche die kantonalen Behörden abschliessend zu befinden hatten. Dass die Vorinstanz die von ihr festgestellten Tatsachen nicht unter Art. 285 ZGB habe ziehen dürfen, wird in der Berufungsschrift mit keinem Worte geltend gemacht. Die Berufung entbehrt somit einer der Vorschrift von Art. 55 lit. c OG genügenden Begründung. Dieser Mangel macht sie unwirksam (71 II 34 und 35, 72 II 6 E. 3, 77 II 343 E. 3, 80 II 30 E. 1, 148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