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424</w:t>
      </w:r>
    </w:p>
    <w:p>
      <w:r>
        <w:t>Bundesgericht (BGE), 1958-01-01, FR</w:t>
      </w:r>
    </w:p>
    <w:p>
      <w:r>
        <w:rPr>
          <w:b/>
        </w:rPr>
        <w:t xml:space="preserve">Quelle: </w:t>
      </w:r>
      <w:r>
        <w:t>https://mcp.opencaselaw.ch/entscheid/bge_BGE_84_II_424</w:t>
      </w:r>
    </w:p>
    <w:p>
      <w:r>
        <w:t>FR: ATF 84 II 424</w:t>
      </w:r>
    </w:p>
    <w:p>
      <w:r>
        <w:t>IT: DTF 84 II 424</w:t>
      </w:r>
    </w:p>
    <w:p>
      <w:pPr>
        <w:pStyle w:val="Heading2"/>
      </w:pPr>
      <w:r>
        <w:t>Regeste</w:t>
      </w:r>
    </w:p>
    <w:p>
      <w:r>
        <w:t>Regeste Dienstvertrag. Lohnanspruch; Vertragsinhalt; Rechtsmissbrauch. Art. 330 Abs. 1, 326 OR; Art. 2 ZGB. Zivilrechtliche Bedeutung eines kantonalen Erlasses, der die Erteilung der Aufenthaltsbewilligung an Fremdarbeiter von der Einhaltung der Vorschriften eines nicht allgemein verbindlich erklärten Gesamtarbeitsvertrags durch den Dienstherrn abhängig macht (Erw. 1). Nichtigkeit einer Lohnvereinbarung, die mit der öffentlich-rechtlichen Regelung nicht übereinstimmt? (Erw. 2). Rechtsmissbräuchliche Berufung auf die Vertragsfreiheit? (Erw. 3).</w:t>
      </w:r>
    </w:p>
    <w:p>
      <w:r>
        <w:t>Regeste Contrat de travail. Salaire; contenu du contrat; abus de droit. Art. 330 al. 1, 326 CO; art. 2 CC. Effets de droit privé d'un arrêté cantonal qui subordonne l'octroi aux étrangers d'un permis de séjour en vue de prendre emploi à la condition que l'employeur se conforme aux dispositions d'un contrat collectif n'ayant pas reçu force obligatoire générale (consid. 1). Une convention de salaire contraire à la réglementation de droit public est-elle nulle? (consid. 2). L'employeur qui invoque la liberté de contracter commet-il un abus de droit (consid. 3)?</w:t>
      </w:r>
    </w:p>
    <w:p>
      <w:r>
        <w:t>Regesto Contratto di lavoro. Mercede; tenore del contratto; abuso di diritto. Art. 330 cp. 1, 326 CO; art. 2 CC. Effetti di diritto civile di un decreto cantonale che fa dipendere il rilascio agli stranieri di un permesso di soggiorno a scopo di lavoro dalla condizione che il datore di lavoro si conformi alle disposizioni di un contratto collettivo cui non è stato conferito carattere obbligatorio generale (consid. 1). È nulla una pattuizione di salario contraria all'ordinamento di diritto pubblico? (consid. 2). Commette il datore di lavoro che invoca la libertà di contratto un abuso di diritto? (consid. 3).</w:t>
      </w:r>
    </w:p>
    <w:p>
      <w:pPr>
        <w:pStyle w:val="Heading2"/>
      </w:pPr>
      <w:r>
        <w:t>Erwägungen</w:t>
      </w:r>
    </w:p>
    <w:p>
      <w:r>
        <w:rPr>
          <w:b/>
        </w:rPr>
        <w:t>E. 1</w:t>
      </w:r>
    </w:p>
    <w:p>
      <w:r>
        <w:t>Les conditions du contrat de travail peuvent être fixées librement, pourvu qu'elles ne soient contraires ni à la loi ni aux moeurs (art. 326 CO). L'employeur paie le salaire convenu, usuel ou fixé par des contrats-types ou des contrats collectifs obligatoires pour lui (art. 330 al. 1 CO). a) L'intimé soutient que l'arrêté cantonal du 29 juin 1954 produit des effets de droit civil et confère à l'employé un droit au salaire minimum prévu dans la convention collective. Suivant l'arrêt attaqué, cependant, telle n'est pas la portée de cette réglementation, qui, par les conditions BGE 84 II 424 S. 426 mises à l'octroi du permis de séjour, se borne à contraindre indirectement l'employeur à s'engager à rémunérer son personnel étranger d'après la convention; c'est pourquoi les premiers juges ont eu recours à la notion d'abus de droit. S'agissant de l'application du droit cantonal, le Tribunal fédéral n'a pas à revoir l'interprétation qu'ils en ont donnée. b) Il n'est d'ailleurs guère concevable qu'une prétention civile puisse être déduite d'une règle de droit public qui se borne à exercer une pression pour amener les parties à contracter à des conditions déterminées. On ne saurait suivre l'intimé lorsqu'il invoque, par analogie, l'art. 27 de la loi fédérale sur le travail dans les fabriques. Cette prescription, interprétée comme une norme impérative de droit civil, applicable même en l'absence d'une autorisation au sens des art. 48 et 52 de la loi, détermine le montant du supplément de salaire prévu à l'art. 336 al. 2 CO (OSER/SCHÖNENBERGER, N. 7 ad art. 336 CO; SCHÖNENBERGER, ZSR 1933, p. 89 a, 90 a); en dehors du cadre de la LTF, une règle cantonale impérative n'est valide que si elle peut se fonder sur cette disposition du code des obligations. En l'espèce, le droit civil fédéral ne confère pas un droit au salaire minimum. c) Il n'est pas moins douteux que le législateur cantonal, eût-il imposé directement les conditions de salaire pratiquées dans le contrat collectif, aurait été habilité à édicter une telle règle de droit civil. Certes il a été jugé que lorsqu'un canton introduit une réforme sociale en harmonie avec le droit fédéral, il peut en accroître l'efficacité par un moyen de droit privé (RO 73 I 229), sans outrepasser le cadre de l'art. 6 al. 1 CC. Pour des raisons plausibles d'ordre public, le législateur cantonal recourt à des moyens de contrainte d'ordre civil qui ne heurtent ni le sens ni l'esprit du droit privé fédéral. L'arrêt cité a trait aux vacances payées rendues obligatoires pour sauvegarder la santé publique; le moyen civil, dans ce cas, servait le but d'intérêt public. En l'espèce, la garantie BGE 84 II 424 S. 427 d'un salaire minimum aux seuls employés étrangers constituerait, en l'absence de toute réforme sociale, une norme indépendante dérogeant aux principes fondamentaux du droit des contrats; on évite efficacement la sous-enchère des travailleurs étrangers par la contrainte indirecte prévue dans l'arrêté cantonal. Il suit de là que le demandeur, en l'absence d'une convention, ne peut fonder une prétention civile sur l'arrêté du 29 juin 1954. Les conditions fixées par le contrat collectif de travail des importateurs de primeurs en gros lient les parties du 1er juin 1957 à fin novembre 1957, soit dès l'affiliation de l'intimé à une association signataire (RO 71 I 306) jusqu'à la cessation des rapports de service. Suivant l'arrêt attaqué, la différence entre le salaire touché et le salaire garanti s'élève à 1100 fr. L'intimé n'a pas réclamé l'intérêt moratoire.</w:t>
      </w:r>
    </w:p>
    <w:p>
      <w:r>
        <w:rPr>
          <w:b/>
        </w:rPr>
        <w:t>E. 2</w:t>
      </w:r>
    </w:p>
    <w:p>
      <w:r>
        <w:t>L'intimé invoque en outre la nullité des clauses contractuelles relatives au paiement du salaire. L'art. 326 CO est un cas d'application des art. 19 et 20 CO (OSER/SCHÖNENBERGER, N. 2 ad art. 326 CO). Une convention privée contraire à une réglementation de droit public n'est inefficace que si la nullité est expressément prévue comme sanction de l'illicéité, ou découle du sens et du but de la règle violée (RO 45 II 551; 47 II 464 ; 60 II 315 ; 80 II 329 ; 81 II 619 ). Il ne ressort pas de l'arrêt attaqué que tel soit l'effet recherché par l'arrêté du 29 juin 1954. On peut d'ailleurs douter que le recourant eût consenti à payer d'emblée un salaire de magasinier au jeune Rodriguez, âgé de 15 1/2 ans, alors que les apprentis ont droit, d'après le contrat collectif, à 100, 150 ou 200 fr. (cf. art. 20 al. 2 CO).</w:t>
      </w:r>
    </w:p>
    <w:p>
      <w:r>
        <w:rPr>
          <w:b/>
        </w:rPr>
        <w:t>E. 3</w:t>
      </w:r>
    </w:p>
    <w:p>
      <w:r>
        <w:t>La juridiction cantonale, délaissant les moyens de l'intimé, se fonde sur l'abus de droit. Selon l'art. 4 de l'arrêté genevois, l'employeur doit s'assurer, avant de laisser travailler un étranger, que celui-ci est autorisé à prendre un emploi; Martinez n'en a rien fait. Il est certes choquant que le recourant tire profit de BGE 84 II 424 S. 428 son omission. Toutefois c'est d'accord avec son employé, soit son représentant légal, également au service du recourant, que Martmez a fixé un salaire (250 fr. par mois, au début, avec augmentations successives jusqu'à 450 fr., en mai 1957) qui paraît normal, vu l'âge de l'employé; l'intimé n'a d'ailleurs formé sa demande qu'après avoir signifié son congé. Or, seule une atteinte portée délibérément et de mauvaise foi aux droits privés d'une partie procéderait de l'exercice abusif d'un droit; en l'absence de tout élément autre que l'infraction aux prescriptions de police, le moyen tiré de l'art. 2 al. 2 CC reviendrait à conférer, par un détour, à la réglementation de droit public le caractère de disposition impérative de droit civil; il ne serait fondé que si l'employeur, par une attitude contraire à la bonne foi, avait dissuadé son employé de s'annoncer à la police des étrangers ou l'en avait empêché. L'arrêt attaqué ne constate rien de tel. Accordée à des mineurs étrangers, l'autorisation de prendre emploi se limite d'ailleurs, dans la règle, à la qualité de garçon de course ou d'apprenti; la rémunération actuelle de ces derniers s'élève à 100 fr. par mois pour la première année; il est douteux que l'intimé eût pu prétendre d'emblée au salaire de magasinier, qui était de 530 fr. à son entrée au service du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