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418</w:t>
      </w:r>
    </w:p>
    <w:p>
      <w:r>
        <w:t>Bundesgericht (BGE), 1958-11-27, FR</w:t>
      </w:r>
    </w:p>
    <w:p>
      <w:r>
        <w:rPr>
          <w:b/>
        </w:rPr>
        <w:t xml:space="preserve">Quelle: </w:t>
      </w:r>
      <w:r>
        <w:t>https://mcp.opencaselaw.ch/entscheid/bge_BGE_84_II_418</w:t>
      </w:r>
    </w:p>
    <w:p>
      <w:r>
        <w:t>FR: ATF 84 II 418</w:t>
      </w:r>
    </w:p>
    <w:p>
      <w:r>
        <w:t>IT: DTF 84 II 418</w:t>
      </w:r>
    </w:p>
    <w:p>
      <w:pPr>
        <w:pStyle w:val="Heading2"/>
      </w:pPr>
      <w:r>
        <w:t>Regeste</w:t>
      </w:r>
    </w:p>
    <w:p>
      <w:r>
        <w:t>Regeste Vertragsabschluss oder blosse Vorbesprechung? Prüfungsbefugnis des Bundesgerichts.</w:t>
      </w:r>
    </w:p>
    <w:p>
      <w:r>
        <w:t>Regeste Contrat ou pourparlers? Examen du Tribunal fédéral.</w:t>
      </w:r>
    </w:p>
    <w:p>
      <w:r>
        <w:t>Regesto Contratto o trattative? Potere d'esame del Tribunale federale.</w:t>
      </w:r>
    </w:p>
    <w:p>
      <w:pPr>
        <w:pStyle w:val="Heading2"/>
      </w:pPr>
      <w:r>
        <w:t>Erwägungen</w:t>
      </w:r>
    </w:p>
    <w:p>
      <w:r>
        <w:rPr>
          <w:b/>
        </w:rPr>
        <w:t>E. 3</w:t>
      </w:r>
    </w:p>
    <w:p>
      <w:r>
        <w:t>Le contrat est parfait lorsque les parties ont, réciproquement et d'une manière concordante, manifesté leur volonté (art. 1er al. 1 CO). Si les parties se sont mises d'accord sur tous les points essentiels, le contrat est réputé conclu, lors même que des points secondaires ont été réservés (art. 2 al 1 CO). S'agissant de la conclusion d'un contrat, seule se présente comme étant de fait la question de savoir quels sont les paroles, les actes, les attitudes par lesquels a pu s'exprimer la volonté des parties, et c'est dans cette mesure seulement que le Tribunal fédéral ne peut revoir les jugements cantonaux. En revanche, c'est certainement une question de droit que de donner aux faits ainsi constatés leur qualification légale, c'est-à-dire de rechercher si les conditions requises par la loi pour qu'il y ait contrat sont réalisées (RO 72 II 79 et les arrêts cités). BGE 84 II 418 S. 422 Me D. s'est exprimé sur la portée des notes qu'il prit le 29 septembre 1955. Il l'a fait postérieurement à l'arrêt attaqué. C'est là un moyen de preuve nouveau que le Tribunal fédéral ne peut apprécier et retenir (art. 63 al. 2 et 55 al. 1 litt. c OJ). Les héritiers des époux Roschi ont-ils entendu s'obliger dès le 29 septembre ou, bien que le contenu du contrat fût projeté et fixé par écrit, puis signé, se sont-ils réservé de décider ultérieurement s'ils voulaient conclure et comment, définitivement, ils désiraient se lier? L'interprétation des notes prises par l'officier public, jointe à divers indices, conduit à penser que le document dressé n'incorporait pas encore une volonté sortant les effets juridiques propres d'un contrat parfait, mais n'était que la fixation hâtive du résultat des pourparlers, un projet plus ou moins définitif (Traktaten, Punktationen: OSER/-SCHÖNENBERGER, I, ad art. 2 CO). Quoique rédigé par un notaire dans son étude, lors d'une réunion préparée et convoquée par lui pour dénouer un conflit entre héritiers, il est écrit sur papier ordinaire, à la main, sans aucun souci de forme ni de présentation. Les marges ne sont pas respectées; les paragraphes du texte ne se suivent pas; aucun préambule ne les précède. Les biens de la masse ne font l'objet d'aucune précision. Le style est celui des télégrammes, la syntaxe, celle de l'écolier; aucune phrase n'est formée; ratures et retouches sont nombreuses et déparent l'écrit. Intelligible pour son auteur et les héritiers, le texte est conçu comme projet d'un acte futur, dont on élabore péniblement, en commun, le contenu en vue de la rédaction du document définitif; les discussions traînant depuis des mois, on note au long de l'entretien les résultats qui semblent acquis et on les signe pour éviter qu'un participant ait l'idée saugrenue de remettre sur le chantier tout ce qui vient d'être échafaudé. Ce ne peut être là oeuvre définitive aux yeux du juriste de carrière qui conseille les hoirs et est appelé constamment à liquider des successions complexes de BGE 84 II 418 S. 423 manière à couper court à toute contestation. Le brouillon qu'il fait signer contient-il d'ailleurs les données essentielles d'un partage successoral, même partiel? Cette opération n'y est mentionnée nulle part; au contraire, un "prix" de vente est stipulé qui doit être payé "comptant"; aucune imputation n'est prévue sur la part des cohéritiers, ni aucune soulte à la charge de ceux d'entre eux que le partage en nature aurait favorisés. Ce n'est que plus tard, dans l'acte nul du 14 octobre, que des précisions seront apportées. On comprend dès lors que le notaire ait demandé, entre les deux dates, une procuration à Alix-Charles Roschi pour se faire représenter à l'acte de cession de Plan-les-Ouates, en exprimant l'espoir que le principal avait été réglé; on conçoit aussi qu'il ait prié les héritiers, en constatant la caducité du contrat du 14 octobre, de lui dire s'ils se considéraient néanmoins comme obligés par les notes signées antérieurement: un assentiment définitif était nécessaire; restait à l'obtenir, puisque l'acte authentique était nul. Le passage concernant l'immeuble sis en Suisse n'est d'ailleurs pas le seul à donner l'impression d'une entente encore embryonnaire. Les autres points du brouillon du notaire la confirment. Aucune décision n'est prise quant à la pierre tombale. Les "dispositions" concernant l'Hôtel Bellerive sont inexécutables comme telles et ne comportent certainement aucun engagement valable. Celles qui traitent du "coffre" prévoient expressément la signature ultérieure d'une "cession de Plan-les-Ouates". Il est enfin manifeste que l'intimé n'a pas cru à la validité du document du 29 septembre 1955; il ne se considère comme propriétaire que depuis le 14 octobre, date où fut passé le contrat authentique, qu'il savait nul; il ne se fiait donc ni au premier ni au second des textes élaborés.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