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84 II 415</w:t>
      </w:r>
    </w:p>
    <w:p>
      <w:r>
        <w:t>Bundesgericht (BGE), 1958-01-01, DE</w:t>
      </w:r>
    </w:p>
    <w:p>
      <w:r>
        <w:rPr>
          <w:b/>
        </w:rPr>
        <w:t xml:space="preserve">Quelle: </w:t>
      </w:r>
      <w:r>
        <w:t>https://mcp.opencaselaw.ch/entscheid/bge_BGE_84_II_415</w:t>
      </w:r>
    </w:p>
    <w:p>
      <w:r>
        <w:t>FR: ATF 84 II 415</w:t>
      </w:r>
    </w:p>
    <w:p>
      <w:r>
        <w:t>IT: DTF 84 II 415</w:t>
      </w:r>
    </w:p>
    <w:p>
      <w:pPr>
        <w:pStyle w:val="Heading2"/>
      </w:pPr>
      <w:r>
        <w:t>Regeste</w:t>
      </w:r>
    </w:p>
    <w:p>
      <w:r>
        <w:t>Regeste Ehescheidung; Entschädigungsrente der schuldlosen Ehefrau gemäss Art. 151 ZGB für Verlust des ehelichen Unterhaltsanspruchs. Bewertung dieses Verlustes: a) Höhe des der Frau in der Ehe zukommenden Anteils am Einkommen des Mannes; b) Anrechnung des Verdienstes, den die geschiedene Frau mit ihrer nun freigewordenen Arbeitskraft erzielen kann.</w:t>
      </w:r>
    </w:p>
    <w:p>
      <w:r>
        <w:t>Regeste Divorce; rente allouée à l'épouse innocente à titre d'indemnité pour la perte du droit à l'entretien (art. 151 CC). Appréciation de cette perte: a) part du revenu du mari consacrée à l'épousedurant le mariage; b) imputation du gain que celle-ci peut se procurer, une fois divorcée, grâce à sa capacité de travail ainsi libérée.</w:t>
      </w:r>
    </w:p>
    <w:p>
      <w:r>
        <w:t>Regesto Divorzio; rendita concessa alla moglie innocente a titolo di indennità per perdita del diritto al mantenimento (art. 151 CC). Valutazione di questa perdita: a) parte del reddito del marito spettante alla moglie durante il matrimonio; b) computo del guadagno che la moglie divorziata può conseguire con la sua capacità lavorativa così divenuta per lei disponibile.</w:t>
      </w:r>
    </w:p>
    <w:p>
      <w:pPr>
        <w:pStyle w:val="Heading2"/>
      </w:pPr>
      <w:r>
        <w:t>Erwägungen</w:t>
      </w:r>
    </w:p>
    <w:p>
      <w:r>
        <w:rPr>
          <w:b/>
        </w:rPr>
        <w:t>E. 2</w:t>
      </w:r>
    </w:p>
    <w:p>
      <w:r>
        <w:t>Nach den Feststellungen der Vorinstanz ist die Berufungsbeklagte als schuldlos zu betrachten, sodass sie auf eine Entschädigung nach Art. 151 Abs. 1 ZGB Anspruch erheben kann, sofern ihre Vermögensrechte oder Anwartschaften durch die Scheidung beeinträchtigt werden. Als solche Beeinträchtigung kommt hier nach den Feststellungen der Vorinstanz nur der Verlust des ehelichen Unterhaltsanspruchs in Betracht. Dieser Verlust stellt indessen nur insoweit einen nach Art. 151 Abs. 1 ZGB zu ersetzenden Schaden dar, als er nicht durch die von der Ehefrau infolge der Scheidung zurückgewonnene Handlungsfreiheit und die damit gegebene Möglichkeit eigenen Erwerbes ausgeglichen wird. Diesen im Schadenersatzrecht allgemein geltenden Grundsatz der Vorteilsausgleichung hat das Bundesgericht als auch bei der Beurteilung von Unterhaltsansprüchen aus Art. 151 Abs. 1 ZGB anwendbar erklärt ( BGE 60 II 396 , BGE 79 II 131 f.). Die Vorinstanz stellt BGE 84 II 415 S. 417 nun fest, dass die Berufungsbeklagte gegenwärtig als Bureauangestellte Fr. 450.-- verdient, und erklärt, dieser Verdienst ersetze den Unterhaltsverlust nicht vollständig, es rechtfertige sich daher, ihr eine Unterhaltsrente von Fr. 200.-- zuzusprechen. Damit wird implicite der Verlust des ehelichen Unterhaltes auf mindestens Fr. 650.-- bewertet, was offensichtlich unrichtig ist. Die Berufungsbeklagte selbst geht von einem Monatsverdienst des Mannes von ca. Fr. 1000.-- aus. Davon sind gewiss nicht 2/3 ihr als Ehefrau zugekommen, sondern erfahrungsgemäss höchstens etwas mehr als 1/3. InBGE 60 II 396hat das Bundesgericht den der Ehefrau entgehenden Unterhalt bei einem Monatseinkommen des Mannes von Fr. 800.-- auf Fr. 300.-- bewertet. Bei Anwendung dieser Proportion auf den vorliegenden Fall ergibt sich ein Verlust der Ehefrau in Höhe von Fr. 375.--, der durch ihr heutiges Einkommen nicht nur gedeckt, sondern übertroffen wird. Dabei ist noch zu berücksichtigen, dass der gegenwärtige Verdienst der Berufungsbeklagten sich an der untern Grenze dessen befindet, was heute einer 26 Jahre alten Büroangestellten bei guter Leistung bezahlt zu werden pflegt. Die Berufungsbeklagte kann und wird in nächster Zukunft nach aller Wahrscheinlichkeit noch mehr verdienen als Fr. 450.-- monatlich. Die Zusprechung einer Entschädigungsrente auf Lebenszeit widerspricht mithin dem Sinn des Art. 151 Abs. 1 ZGB ; und eine Rente nach Art. 152 fällt von vornherein ausser Betracht, da die Berufungsbeklagte nicht in grosse Bedürftigkeit gerät. Eine auf zwei Jahre beschränkte Übergangsrente von monatlich Fr. 200.--, wie sie der Berufungskläger versprochen hat, erscheint als hinreichende Entschädigung.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