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338</w:t>
      </w:r>
    </w:p>
    <w:p>
      <w:r>
        <w:t>Bundesgericht (BGE), 1958-01-01, DE</w:t>
      </w:r>
    </w:p>
    <w:p>
      <w:r>
        <w:rPr>
          <w:b/>
        </w:rPr>
        <w:t xml:space="preserve">Quelle: </w:t>
      </w:r>
      <w:r>
        <w:t>https://mcp.opencaselaw.ch/entscheid/bge_BGE_84_II_338</w:t>
      </w:r>
    </w:p>
    <w:p>
      <w:r>
        <w:t>FR: ATF 84 II 338</w:t>
      </w:r>
    </w:p>
    <w:p>
      <w:r>
        <w:t>IT: DTF 84 II 338</w:t>
      </w:r>
    </w:p>
    <w:p>
      <w:pPr>
        <w:pStyle w:val="Heading2"/>
      </w:pPr>
      <w:r>
        <w:t>Regeste</w:t>
      </w:r>
    </w:p>
    <w:p>
      <w:r>
        <w:t>Regeste Ausgleichungspflicht der gesetzlichen Erben (Art. 626 ZGB). Gemischte Schenkung? Bewertung der beidseitigen Leistungen nach den Verhältnissen zur Zeit des Vertragsabschlusses. Einfluss eines limitierten Vorkaufsrechts, einer Nutzniessung, entgeltlicher Wohnrechte und weiterer Belastungen des Käufers auf den Verkehrswert einer Liegenschaft. Muss das Bestehen eines Missverhältnisses zwischen Leistung und Gegenleistung den Beteiligten bewusst gewesen sein? Anordnung des Ausgleichungspflicht im Sinne von Art. 626 Abs. 1 ZGB? Vermögensabtretung im Sinne von Art. 626 Abs. 2 ZGB. Ausdrückliche Befreiung von der Ausgleichungspflicht?</w:t>
      </w:r>
    </w:p>
    <w:p>
      <w:r>
        <w:t>Regeste Obligation de rapporter des héritiers légaux (art. 626 CC). Donation mixte? Evaluation des prestations réciproques sur la base des circonstances existant au moment de la conclusion du contrat. Influence d'un droit de préemption limité, d'un usufruit, de droits d'habitation à titre onéreux et d'autres charges incombant à l'acheteur sur la valeur vénale d'un immeuble. Les parties doivent-elles être conscientes de l'existence d'une disproportion entre prestation et contreprestation? Le de cujus a-t-il ordonné le rapport au sens de l'art. 626 al. 1 CC? Abandon de bien au sens de l'art. 626 al. 2 CC? Disposition expresse libérant les héritiers de l'obligation de rapporter?</w:t>
      </w:r>
    </w:p>
    <w:p>
      <w:r>
        <w:t>Regesto Obbligo di collazione degli eredi legittimi (art. 626 CC). Donazione mista? Valutazione delle prestazioni reciproche secondo le circostanze esistenti all'atto della stipulazione del contratto. Influsso di un diritto di prelazione limitato, di un usufrutt o, di diritti di abitazione a titolo oneroso e di altri oneri incombenti al compratore sul valore venale di un immobile. Devono le parti essere conscie dell'esistenza di una disproporzione tra prestazione e controprestazione? Ha il de cuius ordinato la collazione nel senso dell'art. 626 cp. 1 CC? Abbandono di beni nel senso dell'art. 626 cp. 2 CC? Disposizione esplicita che libera gli eredi dall'obbligo di collazione?</w:t>
      </w:r>
    </w:p>
    <w:p>
      <w:pPr>
        <w:pStyle w:val="Heading2"/>
      </w:pPr>
      <w:r>
        <w:t>Erwägungen</w:t>
      </w:r>
    </w:p>
    <w:p>
      <w:r>
        <w:rPr>
          <w:b/>
        </w:rPr>
        <w:t>E. 1</w:t>
      </w:r>
    </w:p>
    <w:p>
      <w:r>
        <w:t>Die von den Klägern heute aufgeworfene Frage, ob der Vertrag vom 8. Oktober 1949 zu seiner Gültigkeit der Form des Erbvertrags bedurft hätte, ist ohne jeden Zweifel zu verneinen. Der Vertrag sollte seine Wirkungen keineswegs erst beim Tode der Erblasserin entfalten. Das Gegenteil ergibt sich schon daraus, dass der Übergang des Eigentums auf die Beklagte nach dem Vertrag sofort im Grundbuch einzutragen war. Für einen Vertrag auf Übertragung des Eigentums an einer Liegenschaft unter Lebenden genügt gemäss Art. 657 ZGB die Form der öffentlichen Beurkundung, die beobachtet wurde.</w:t>
      </w:r>
    </w:p>
    <w:p>
      <w:r>
        <w:rPr>
          <w:b/>
        </w:rPr>
        <w:t>E. 2</w:t>
      </w:r>
    </w:p>
    <w:p>
      <w:r>
        <w:t>Die Ausgleichungspflicht im Sinne von Art. 626 ZGB kann nur Platz greifen, wenn ein gesetzlicher Erbe vom Erblasser zu dessen Lebzeiten eine unentgeltliche Zuwendung (libéralité) empfangen hat. Eine solche kann nicht nur im Falle reiner Unentgeltlichkeit der Leistung des Erblassers, sondern auch dann vorliegen, wenn der Erbe dem Erblasser für den erhaltenen Vermögensvorteil zwar ein Entgelt zu leisten hat, dieses aber von erheblich geringerm Wert ist als jener Vorteil, so dass zwischen den beiden Leistungen ein Missverhältnis besteht. In diesem Falle kommt der Wertunterschied zwischen den beiden Leistungen als Gegenstand der Augleichungspflicht in Frage. Bei Gleichwertigkeit von Leistung und Gegenleistung BGE 84 II 338 S. 344 ist die Anwendung des Art. 626 ZGB dagegen von vornherein ausgeschlossen; ebenso, wenn nur ein unbedeutender Wertunterschied festzustellen ist ( BGE 77 II 38 /39 und dortige Hinweise). Bei Beurteilung der Frage, ob und allenfalls um wieviel der Wert der Leistung an den Erben den Wert des von diesem zu erbringenden Entgeltes übersteigt, ist auf die Verhältnisse zur Zeit des Geschäftsabschlusses abzustellen. Nimmt der Wert des dem Erben überlassenen Gegenstandes zwischen diesem Zeitpunkt und demjenigen des Erbgangs zu, so wird dadurch ein Geschäft, das bei seinem Abschluss ein rein entgeltliches war, selbstverständlich nicht zu einem teilweise unentgeltlichen. Ebensowenig kann die unentgeltliche Zuwendung, die beim Geschäftsabschluss mit der Festsetzung eines unter dem damaligen Wert des Gegenstandes liegenden Preises erfolgt ist, bei späterer Zunahme des Sachwertes anwachsen. Als Wert der unentgeltlichen Zuwendung zur Zeit des Erbganges, der nach Art. 630 ZGB für die Ausgleichung massgebend ist, hat vielmehr in solchen Fällen stets der beim Geschäftsabschluss vorhanden gewesene Wertunterschied zu gelten, der eben den Gegenstand der unentgeltlichen Zuwendung bildete. Eine spätere Steigerung des Wertes des dem Erben überlassenen Gegenstandes kommt beim gemischten wie beim rein entgeltlichen Geschäft allein dem Erwerber zu, wie dieser umgekehrt auch die Folgen einer allfälligen Wertverminderung allein zu tragen hat ( BGE 55 II 163 f.). Der Zeitpunkt des Geschäftsabschlusses bleibt für die Bewertung der beidseitigen Leistungen grundsätzlich auch massgebend, wenn der Erbe nicht sofort in den vollen Genuss des ihm zugewendeten Vermögensvorteils kommt und (bzw. oder) seine Gegenleistung nicht sofort zu erbringen hat, sondern gegenüber dem Erblasser eine Schuld eingeht, die er erst später, allenfalls erst bei der Erbteilung, zu tilgen hat. Als Wert einer dem Erben übereigneten Liegenschaft BGE 84 II 338 S. 345 ist, wenn man es nicht mit einer landwirtschaftlichen Liegenschaft zu tun hat (vgl. zu diesem FalleBGE 54 II 95, 104, 108), ihr Verkehrswert anzusehen. Im vorliegenden Falle kommt es daher in erster Linie darauf an, welchen Verkehrswert die der Beklagten übereignete Liegenschaft zur Zeit des Vertragsabschlusses angesichts der damals gegebenen Verhältnisse hatte.</w:t>
      </w:r>
    </w:p>
    <w:p>
      <w:r>
        <w:rPr>
          <w:b/>
        </w:rPr>
        <w:t>E. 3</w:t>
      </w:r>
    </w:p>
    <w:p>
      <w:r>
        <w:t>Mit diesen von ihr richtig erkannten Grundsätzen hat sich die Vorinstanz in Widerspruch gesetzt, indem sie annahm, das im Vertrag vom 8. Oktober 1949 zugunsten von Hans Max Herrmann vereinbarte limitierte Vorkaufsrecht vermindere den Wert der Leistung, welche die Beklagte damals empfing, deswegen nicht, weil Herrmann am 4. April 1957 auf sein Recht verzichtet habe, das Vorkaufsrecht zum limitierten Preis von Fr. 25'000.-- geltend zu machen, und den wirklichen Wert der Liegenschaft als für sein Vorkaufsrecht massgebend anerkannt habe. Diese lange nach dem Vertragsabschluss, ja sogar erst nach dem Erbfall abgegebene Erklärung kann bei der Bemessung des Verkehrswertes der Liegenschaft zur Zeit des Vertragsabschlusses keine Rolle spielen. Die Beklagte erwarb die Liegenschaft belastet mit dem auf Fr. 25'000.-- limitierten Vorkaufsrecht. Dieses muss daher bei der Ermittlung des damaligen Verkehrswertes der Liegenschaft so gut wie die andern damals vorhanden gewesenen Belastungen berücksichtigt werden. Anders wäre es nur, wenn ein derartiges Vorkaufsrecht den Verkehrswert einer Liegenschaft überhaupt nicht beeinflussen könnte. Das nimmt jedoch die Vorinstanz mit Recht nicht an. Vielmehr hat sie selber ausgeführt, wenn Herrmann auf die Geltendmachung seines Vorkaufsrechts zum Preise von Fr. 25'000.-- nicht verzichtet hätte, hätte man sich fragen können, ob die Beklagte eine Leistung erhalten habe, die den Betrag von Fr. 25'000.-- übersteige. Nach der Lebenserfahrung ist denn auch zum mindesten soviel sicher, dass ein im Grundbuch vorgemerktes limitiertes Vorkaufsrecht die Kauflust und die Preisangebote dritter Interessenten und BGE 84 II 338 S. 346 damit eben auch den Verkehrswert einer Liegenschaft sehr wohl beeinträchtigen kann. Ob mehr oder weniger wahrscheinlich sei, dass der Vorkaufsberechtigte gewillt und in der Lage gewesen wäre, sein Recht auszuüben, und ob die Beklagte je versucht habe, die streitige Liegenschaft zu verkaufen, ist entgegen der Auffassung der Kläger unerheblich. Wesentlich ist nur, dass das limitierte Vorkaufsrecht zugunsten Herrmanns bestand und geeignet war, den Wert der Liegenschaft in den Augen allfälliger Kaufsinteressenten zu schmälern. Das angefochtene Urteil ist daher aufzuheben und die Sache an die Vorinstanz zurückzuweisen, damit sie den Verkehrswert der an die Beklagte veräusserten Liegenschaft zur Zeit des Vertragsabschlusses unter Berücksichtigung des darauf lastenden limitierten Vorkaufsrechtes feststelle.</w:t>
      </w:r>
    </w:p>
    <w:p>
      <w:r>
        <w:rPr>
          <w:b/>
        </w:rPr>
        <w:t>E. 4</w:t>
      </w:r>
    </w:p>
    <w:p>
      <w:r>
        <w:t>Weitere Belastungen, welche die Beklagte mit der Liegenschaft zu übernehmen hatte, sind das zeitlich unbeschränkte Wohnrecht Herrmanns sowie die Nutzniessung und das beim Verzicht darauf aktuell werdende "allgemeine" und lebenslängliche Wohnrecht zugunsten der Erblasserin. Obwohl die Wohnrechte entgeltlich waren und die Beklagte während der Dauer der Nutzniessung den "Abtretungspreis" nicht zu verzinsen hatte, waren auch diese Lasten dazu angetan, den damaligen Verkehrswert der Liegenschaft ungünstig zu beeinflussen. Wenn bei der Ertragswertberechnung, die ein Element der vom vorinstanzlichen Experten vorgenommenen Verkehrswertschätzung bildete, auf den von Herrmann tatsächlich bezahlten, unter dem normalen Ansatz liegenden "Mietzins" abgestellt wurde, so ist damit der in diesem Wohnrecht bestehenden Belastung nicht voll Rechnung getragen worden. Es liegt auf der Hand, dass bei einer Liegenschaft wie der streitigen, die ein Dritter kaum als Renditenobjekt, sondern höchst wahrscheinlich nur für den Eigengebrauch erwerben wird, das Bestehen von langfristigen Wohnrechten, die nach dem massgebenden Vertrag sozusagen alle Räumlichkeiten erfassen, auf den Verkehrswert drückt, BGE 84 II 338 S. 347 selbst wenn die Wohnberechtigten für die Benützung ihrer Räume ein angemessenes Entgelt zu entrichten haben. Die Vorinstanz hat denn auch selber erkannt, dass unkündbare Wohnrechte schon "an und für sich eine gewisse Belastung darstellen", aus dieser Erkenntnis aber praktisch keine Konsequenzen gezogen. Sie hat daher in ihrem neuen Urteil bei der Ermittlung des Verkehrswerts der Liegenschaft im Jahre 1949 nicht nur dem limitierten Vorkaufsrecht Rechnung zu tragen, sondern darüber hinaus die erwähnten weitern Lasten voll zu berücksichtigen. Indem sie dies unterliess, hat sie die für die Schätzung massgebenden G rundsätze verletzt, deren Einhaltung das Bundesgericht zu überprüfen hat (vgl. BGE 82 II 399 Erw. 4). Ob Herrmann ein unangenehmer Hausgenosse sei und dies die Vermietung der andern Wohnung im Hause der Beklagten oder dessen Verkauf erschwere, ist nicht zu untersuchen, weil die Vorfälle, aus denen die Beklagte diesen Schluss ziehen will, sich nach ihrer eigenen Darstellung erst nach Abschluss des Vertrags vom 8. Oktober 1949 zugetragen haben, so dass darauf bei der Ermittlung des damaligen Wertes der Liegenschaft nicht Rücksicht genommen werden darf. Dies ändert jedoch nichts daran, dass das Bestehen unkündbarer Wohnrechte, die sich auf alle oder fast alle Räume im Haus erstrecken, den Verkehrswert der Liegenschaft wesentlich beeinträchtigen kann.</w:t>
      </w:r>
    </w:p>
    <w:p>
      <w:r>
        <w:rPr>
          <w:b/>
        </w:rPr>
        <w:t>E. 5</w:t>
      </w:r>
    </w:p>
    <w:p>
      <w:r>
        <w:t>Bei Vergleichung des Wertes, der den beidseitigen Leistungen im Zeitpunkt des Vertragsabschlusses zukam, ist schliesslich auch die von der Vorinstanz mit Stillschweigen übergangene Verpflichtung der Beklagten, der Erblasserin und ihrem Ehemann bei Altersbeschwerden und im Krankheitsfall unentgeltlich gewisse Dienste zu leisten, angemessen zu berücksichtigen. Mag diese Verpflichtung später auch nicht praktisch geworden sein, so durfte sie bei der Festsetzung des "Abtretungspreises" doch in Betracht gezogen werden.</w:t>
      </w:r>
    </w:p>
    <w:p>
      <w:r>
        <w:rPr>
          <w:b/>
        </w:rPr>
        <w:t>E. 6</w:t>
      </w:r>
    </w:p>
    <w:p>
      <w:r>
        <w:t>Sollte sich ergeben, dass die Leistungen der Erblasserin diejenigen der Beklagten auch dann erheblich BGE 84 II 338 S. 348 übersteigen, wenn die von der Beklagten übernommenen Lasten gehörig berücksichtigt werden, so wäre nach der Rechtsprechung das Vorliegen einer unentgeltlichen Zuwendung im Sinne von Art. 626 ZGB dann zu bejahen, wenn die Vertragsparteien sich des bestehenden Missverhältnisses bewusst waren und den Preis absichtlich unter dem Wert der Leistungen der Erblasserin ansetzten, um die Differenz der Beklagten unentgeltlich zukommen zu lassen; nur unter dieser weitern Voraussetzung kann nach der Praxis von einem sog. negotium mixtum cum donatione gesprochen werden ( BGE 77 II 39 und dortige Hinweise; vgl. auch BGE 82 II 433 Erw. 5 und BGE 84 II 252 Erw. 7). InBGE 77 II 40oben hat das Bundesgericht freilich die Frage aufgeworfen, ob bei einem Geschäft mit einem Nachkommen ein grobes Missverhältnis der Leistungen zugunsten dieses letztern allenfalls für die Annahme einer unentgeltlichen Zuwendung im Sinne von Art. 626 ZGB genügen könnte, auch wenn es beim Geschäftsabschluss nicht erkannt wurde. Diese damals offen gelassene Frage braucht indes auch im vorliegenden Falle kaum entschieden zu werden; denn wenn sich schon herausstellen würde, dass zwischen den Leistungen der Erblasserin einerseits und der Beklagten anderseits wirklich ein grobes Missverhältnis bestanden habe, so dürfte auf Grund der tatsächlichen Feststellungen der Vorinstanz über die vor, bei und nach dem Vertragsabschluss gefallenen Äusserungen auch angenommen werden, dass das Bestehen eines Missverhältnisses den Beteiligten bewusst gewesen sei. Ob ihnen der allenfalls bestehende Wertunterschied der Höhe nach bekannt gewesen sei, kann entgegen der Auffassung der Beklagten keine Rolle spielen.</w:t>
      </w:r>
    </w:p>
    <w:p>
      <w:r>
        <w:rPr>
          <w:b/>
        </w:rPr>
        <w:t>E. 7</w:t>
      </w:r>
    </w:p>
    <w:p>
      <w:r>
        <w:t>Zu den Fragen, die sich stellen, wenn eine unentgeltliche Zuwendung der Erblasserin an die Beklagte vorliegen sollte, genügen wenige Bemerkungen. a) Es kann keine Rede davon sein, dass die Erblasserin im Sinne von Art. 626 Abs. 1 ZGB die Ausgleichung angeordnet habe. Die Bestimmung in Ziffer 2 des Vertrages vom 8. Oktober 1949, wonach der Kapitalbetrag des BGE 84 II 338 S. 349 Abtretungspreises nach dem Ableben der Mutter "in deren Nachlass zur Ausgleichung zu bringen ist", bedeutet nur, dass die Preisforderung der Erblasserin an die Beklagte bei der Erbteilung im Sinne von Art. 614 ZGB dieser anzurechnen sei. Mit Ausgleichung im Sinne von Art. 626 ZGB hat dies nichts zu tun. b) Die Ausgleichungspflicht der Beklagten ergäbe sich dagegen aus Art. 626 Abs. 2 ZGB , wonach die Nachkommen des Erblassers ausser Zuwendungen als Heiratsgut oder Ausstattung u.a. auch solche "durch Vermögensabtretung" auszugleichen haben. Eine solche lag, wenn man es überhaupt mit einer unentgeltlichen Zuwendung zu tun hat, zweifellos vor, da der Begriff der Vermögensabtretung nicht nur die Abtretung des ganzen Vermögens, sondern auch diejenige einzelner bedeutender Vermögenswerte umfasst (vgl. TUOR N. 39, ESCHER, 2. Aufl., N. 37 zu Art. 626 ZGB ). c) Dass die Erblasserin die Beklagte im Sinne von Art. 626 Abs. 2 ZGB ausdrücklich von der Ausgleichungspflicht befreit habe, könnte nicht angenommen werden. Insbesondere liesse sich ein solcher Dispens nicht aus der unter a) erwähnten Bestimmung des Vertrages vom 8. Oktober 1949 ableiten, da jene Bestimmung, wie schon gesagt, mit der Ausgleichung im Rechtssinne überhaupt nichts zu tun hat. Mit der Vorinstanz wäre dagegen die Begünstigungsabsicht im Sinne von Art. 629 ZGB zu bejahen.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