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202</w:t>
      </w:r>
    </w:p>
    <w:p>
      <w:r>
        <w:t>Bundesgericht (BGE), 1958-01-01, DE</w:t>
      </w:r>
    </w:p>
    <w:p>
      <w:r>
        <w:rPr>
          <w:b/>
        </w:rPr>
        <w:t xml:space="preserve">Quelle: </w:t>
      </w:r>
      <w:r>
        <w:t>https://mcp.opencaselaw.ch/entscheid/bge_BGE_84_II_202</w:t>
      </w:r>
    </w:p>
    <w:p>
      <w:r>
        <w:t>FR: ATF 84 II 202</w:t>
      </w:r>
    </w:p>
    <w:p>
      <w:r>
        <w:t>IT: DTF 84 II 202</w:t>
      </w:r>
    </w:p>
    <w:p>
      <w:pPr>
        <w:pStyle w:val="Heading2"/>
      </w:pPr>
      <w:r>
        <w:t>Regeste</w:t>
      </w:r>
    </w:p>
    <w:p>
      <w:r>
        <w:t>Regeste Eisenbahnhaftpflicht, Verjährung. Die Ansprüche gegen die Bahnunternehmung aus Bahnunfällen verjähren nach der hierfür ausschliesslich massgebenden Vorschrift von Art. 14 Abs. 1 EHG in zwei Jahren vom Tage des Unfalls an, selbst wenn sie mit Unfallfolgen begründet werden, von denen der Verunfallte erst nach Ablauf dieser Frist Kenntnis erhalten hat. Unterbrechung der Verjährung durch Betreibung oder Ladung zu einem amtlichen Sühnversuch (Art. 14 Abs. 2 EHG, Art. 135 Ziff. 2 OR).</w:t>
      </w:r>
    </w:p>
    <w:p>
      <w:r>
        <w:t>Regeste Responsabilité des entreprises de chemins de fer, prescription. En vertu de l'art. 14 al. 1 LRC, qui fait seul règle à cet égard, les prétentions contre une entreprise de chemins de fer à la suite d'un accident de chemin de fer se prescrivent par deux ans à partir du jour de l'accident, même si elles sont fondées sur des suites de l'accident dont le lésé n'a eu connaissance qu'après l'expiration de ce délai. Interruption de la prescription par une poursuite ou par une citation en conciliation (art. 14 al. 2 LRC, 135 ch. 2 CO).</w:t>
      </w:r>
    </w:p>
    <w:p>
      <w:r>
        <w:t>Regesto Responsabilità delle imprese ferroviarie, prescrizione. In virtù dell'art. 14 cp. 1 LResp. C, che al riguardo solo fa stato, le pretese verso un'impresa di strade ferrate in seguito a un infortunio ferroviario si prescrivono in due anni dal giorno dell'infortunio, anche se sono fondate su conseguenze dell'infortunio di cui il danneggiato ha avuto conoscenza soltanto dopo la scadenza di questo termine. Interruzione della prescrizione mediante un atto di esecuzione o mediante una citazione avanti l'ufficio di conciliazione (art. 14 cp. 2 LResp C, 135 num. 2 CO).</w:t>
      </w:r>
    </w:p>
    <w:p>
      <w:pPr>
        <w:pStyle w:val="Heading2"/>
      </w:pPr>
      <w:r>
        <w:t>Erwägungen</w:t>
      </w:r>
    </w:p>
    <w:p>
      <w:r>
        <w:rPr>
          <w:b/>
        </w:rPr>
        <w:t>E. 1</w:t>
      </w:r>
    </w:p>
    <w:p>
      <w:r>
        <w:t>Der Unfall, bei dem der Kläger verletzt wurde, hat sich beim Betrieb einer Eisenbahn ereignet. Die Haftpflicht der Bahnunternehmungen für die Folgen solcher Unfälle ist im Bundesgesetz betreffend die Haftpflicht der Eisenbahn- und Dampfschiffahrtsunternehmungen und der Post vom 28. März 1905 (EHG) geordnet. Als Sondergesetz geniesst dieses in allen Punkten, die es nach seinem Wortlaut und seinem Sinn selbständig regelt, gegenüber den allgemeinen Bestimmungen des OR den Vorrang. Hieran ändert der vom Kläger hervorgehobene Umstand nichts, dass das geltende OR nach dem EHG erlassen wurde. Ziff. I der Übergangsbestimmungen des OR vom 30. März 1911 bestimmt ausdrücklich, dass (u.a.) die Spezialgesetze betreffend das Eisenbahn-, Dampfschiff- und Postrecht, zu denen das EHG gehört, in Geltung bleiben, wie auch schon Art. 888 des alten OR vom 14. Juni 1881 vorgesehen hatte, dass die Bestimmungen des alten EHG vom 1. Juli 1875 unverändert in Kraft bleiben sollten. Nach dieser eindeutigen gesetzlichen Regelung kann entgegen der Auffassung des Klägers keine Rede davon sein, dass das OR die ihm widersprechenden Bestimmungen des EHG aufgehoben oder abgeändert habe. Vielmehr bleibt das EHG in seinem Geltungsbereich allein massgebend. Art. 41 ff. OR konkurrierend neben Art. 1 ff. EHG anzurufen, ist ausgeschlossen (vgl. BGE 27 II 408 und dort angeführte Entscheide, wo dieser Grundsatz für das Verhältnis zwischen dem alten OR und dem alten EHG sowie dem Fabrikhaftpflichtgesetz ausgesprochen worden war; statt BGE 14 S. 188 ist dort BGE 19 S. 188 zu lesen). BGE 84 II 202 S. 208</w:t>
      </w:r>
    </w:p>
    <w:p>
      <w:r>
        <w:rPr>
          <w:b/>
        </w:rPr>
        <w:t>E. 2</w:t>
      </w:r>
    </w:p>
    <w:p>
      <w:r>
        <w:t>Art. 14 EHG , der die Verjährung der "durch dieses Gesetz begründeten Schadenersatzklagen" zum Gegenstand hat, erklärt in Abs. 2 für den Stillstand, die Hinderung und die Unterbrechung der Verjährung die Bestimmungen des OR als massgebend. Art. 14 Abs. 1 verweist dagegen für die Dauer und den Beginn der Verjährungsfrist nicht auf das OR, das in seiner heutigen wie in seiner frühern Fassung (Art. 60 bzw. Art. 69) vorsieht, dass der Anspruch auf Schadenersatz oder Genugtuung in einem Jahr von dem Tage hinweg, wo der Geschädigte Kenntnis vom Schaden und von der Person des Ersatzpflichtigen erlangt hat, jedenfalls aber mit dem Ablauf von zehn Jahren vom Tage der schädigenden Handlung an verjährt (Abs. 1), dass jedoch dann, wenn die Klage aus einer strafbaren Handlung hergeleitet wird, für die das Strafrecht eine längere Verjährung vorschreibt, diese auch für den Zivilanspruch gilt (Abs. 2). Vielmehr bestimmt Art. 14 Abs. 1 EHG abweichend hievon, dass die Klagen aus dem EHG in zwei Jahren, welche vom Tage des Unfalls an gerechnet werden, verjähren. Diese Bestimmung geht dem Art. 60 OR nach dem in Erwägung 1 Gesagten vor. Sie weist keine Lücke auf, zu deren Ausfüllung Art. 60 OR herangezogen werden könnte. Insbesondere lässt sich nicht sagen, dass Art. 14 Abs. 1 EHG die Frage offen lasse, innert welcher Frist die Ansprüche aus Schäden verjähren, von denen der Verunfallte erst längere Zeit nach dem Unfall Kenntnis erhält (sog. Spätschäden). Art. 14 Abs. 1 bestimmt völlig klar und ohne jeden Vorbehalt, dass die durch das EHG begründeten Schadenersatzklagen innert der angegebenen Frist verjähren, und erfasst somit unzweifelhaft alle derartigen Klagen, auch diejenigen, mit denen der Verunfallte einen sog. Spätschaden geltend machen will. Art. 60 Abs. 1 OR darf also auf eine Schadenersatzklage aus dem EHG selbst dann nicht angewendet werden, wenn man es mit einem solchen Schaden zu tun hat. Dem Kläger kann aber auch darin nicht beigepflichtet werden, dass Art. 60 Abs. 2 OR eingreife, wenn die Bahnunternehmung BGE 84 II 202 S. 209 für die Folgen eines Bahnunfalls haftbar gemacht wird, der von Personen, für die sie einzustehen hat, durch eine strafbare Handlung herbeigeführt wurde. Wie namentlich aus Art. 1 Abs. 2 in Verbindung mit Abs. 1 und Art. 8 EHG hervorgeht, richtet sich sie Haftpflicht der Bahnunternehmung auch dann nach diesem Gesetz, wenn der Unfall durch sie selber oder durch ihr Personal oder die zum Betrieb oder Bau der Bahn verwendeten Personen verschuldet wurde. Auch die Klagen aus Unfällen, die durch eine strafbare Handlung eines Bahnangestellten verursacht wurden, gehören folglich zu den durch das EHG begründeten Schadenersatzklagen, für welche die Verjährungsfrist nach Art. 14 Abs. 1 EHG ausnahmslos zwei Jahre vom Unfalltag an beträgt. Wenn alle Ansprüche gegen die Bahnunternehmung aus einem Bahnunfall innert dieser Frist verjähren, kann es freilich geschehen, dass ein Anspruch bereits verjährt ist, bevor er zur Kenntnis des Geschädigten gelangt. Darin liegt aber nicht etwa eine Anomalie, die unter keinen Umständen geduldet werden könnte. Dass ein Anspruch verjährt, bevor der Gläubiger ihn kennt, kommt vielmehr auch sonst vor, da für den Beginn der Verjährung die Kenntnis des Gläubigers vom Bestehen und von der Fälligkeit des Anspruchs im allgemeinen nicht erforderlich ist (VON TUHR/SIEGWART, OR, § 80 IV S. 664). Im Haftpflichtrecht lässt ausser dem EHG auch das Elektrizitätsgesetz von 1902 (Art. 37) die Verjährung ohne Rücksicht darauf, wann der Verunfallte vom Schaden Kenntnis erhalten hat, mit dem Tag beginnen, an welchem die Schädigung stattgefunden hat. Das durch Art. 128 des KUVG von 1911 aufgehobene Fabrikhaftpflichtgesetz von 1881 enthielt eine entsprechende Bestimmung (Art. 12). Ebenso verjähren die Forderungen aus Versicherungsvertrag nach Art. 46 VVG in zwei Jahren nach Eintritt der Tatsache, welche die Leistungspflicht begründet (vgl. hiezu BGE 68 II 107 ff.). In allen diesen Gesetzen (die wie das EHG für die darin geregelten Verhältnisse ausschliesslich massgebend sind) hat BGE 84 II 202 S. 210 der Gesetzgeber die Möglichkeit in Kauf genommen, dass ein Anspruch aus einem Schadensereignis verjähren kann, bevor der Geschädigte den Schaden kennt. Richtig ist, dass die Sondergesetze über das Haftpflichtrecht im allgemeinen die Tendenz verfolgen, dem Geschädigten eine bessere Stellung einzuräumen, als er sie bei Anwendung der Bestimmungen des OR innehätte. Daraus lässt sich aber nicht ableiten, dass anstelle des Sondergesetzes immer das OR gelte, wenn dieses im einzelnen Fall für den Geschädigten günstiger wäre als das Sondergesetz. Was das Sondergesetz mit Bezug auf eine bestimmte Frage eindeutig angeordnet hat, muss vielmehr auch dann gelten, wenn diese Anordnung mit der in andern Bestimmungen des Gesetzes zum Ausdruck gekommenen Tendenz nicht im Einklang steht. Ebensowenig lassen sich klare Vorschriften eines Sondergesetzes mit der Begründung beiseite schieben, dass andere Sondergesetze über ähnliche Materien die betreffende Frage anders regeln, was im Haftpflichtrecht hinsichtlich der Verjährung u.a. insofern der Fall ist, als das MFG von 1932 diese im Gegensatz zum EHG und zum ElG nicht mit dem Unfalltage, sondern wie das OR erst mit dem Tage beginnen lässt, an dem der Geschädigte Kenntnis vom Schaden und von der Person des Ersatzpflichtigen erhalten hat (Art. 44). Ob die Erwägungen, die Art. 14 Abs. 1 EHG bzw. den entsprechenden Bestimmungen von Art. 10 Abs. 1 des alten EHG und Art. 12 des Fabrikhaftpflichtgesetzes zugrunde liegen (Wünschbarkeit einer raschen Liquidation der Haftpflichtansprüche im Interesse einer möglichst zuverlässigen Abklärung des Unfallhergangs und einer nicht durch unbestimmte Forderungen beeinträchtigten Erstellung der Unternehmensbilanz, BGE 15 S. 276 Erw. 5, 23 I 942 oben und 31 II 44 oben), die in diesen Bestimmungen getroffene Regelung des Verjährungsbeginns zu rechtfertigen vermögen, hat nicht der Richter, sondern der Gesetzgeber zu entscheiden. Art. 14 Abs. 1 EHG entgegen seinem klaren Wortlaut auszulegen, ist um so weniger angängig, als bei der Revision BGE 84 II 202 S. 211 dieses Gesetzes im Jahre 1905 der schon im alten EHG und im Fabrikhaftpflichtgesetz niedergelegte Grundsatz, dass die Verjährung der aus diesen Gesetzen sich ergebenden Ansprüche auf Entschädigung für Körperverletzung mit dem Tage des Unfalls beginnt, nicht durch die bereits in Art. 69 aoR enthaltene, auf die Kenntnis vom Schaden abstellende Ordnung der allgemeinen Bestimmungen des Obligationenrechts ersetzt, sondern beibehalten wurde, obschon das Bundesgericht jenen Grundsatz wiederholt auch auf Ansprüche aus sog. Spätschäden angewendet hatte (vgl. BGE 15 S. 272 ff., 23 I 930 ff., bes. 942 Erw. 4). Bei der in Art. 14 Abs. 1 EHG ausgesprochenen Regel, dass die Verjährung vom Unfalltag an läuft, muss es daher sein Bewenden haben, auch wenn diese Lösung sich für den Anspruchsberechtigten hart auswirken kann (vgl. BGE 46 II 188 ). Dem Verlust der Ansprüche aus Unfallfolgen, die sich erst nach Ablauf der mit dem Unfall beginnenden zweijährigen Verjährungsfrist zeigen, kann der Verunfallte dadurch einigermassen vorbeugen, dass er gegenüber der Bahnunternehmung vor Fristablauf durch Betreibung oder Ladung zu einem amtlichen Sühnversuch eine Forderung geltend macht, die den in diesem Zeitpunkt erkennbaren Schaden übersteigt. Durch diese - einfache - Vorkehr wird die Verjährung gemäss dem nach Art. 14 Abs. 2 EHG anwendbaren Art. 135 Ziff. 2 OR für den ganzen auf diesem Wege geforderten Betrag unterbrochen. Auf gleiche Weise kann die gemäss Art. 137 OR mit der Unterbrechung neu beginnende Verjährung zu gegebener Zeit von neuem unterbrochen werden. (Vorbehalten bleibt im Falle der Ladung zu einem Sühneversuch die Anwendung kantonaler Prozessvorschriften, wonach der auf diesem Wege geltend gemachte Anspruch nach erfolgloser Klageprovokation oder von Gesetzes wegen verwirkt ist, wenn er nicht innert einer bestimmten Frist vor dem erkennenden Richter weiterverfolgt wird; vgl. BGE 67 II 72 Erw. 2 und GULDENER, Das schweiz. Zivilprozessrecht I 60 Ziff. 3.) BGE 84 II 202 S. 212</w:t>
      </w:r>
    </w:p>
    <w:p>
      <w:r>
        <w:rPr>
          <w:b/>
        </w:rPr>
        <w:t>E. 3</w:t>
      </w:r>
    </w:p>
    <w:p>
      <w:r>
        <w:t>Dass der mit der vorliegenden Klage geltend gemachte Anspruch verjährt ist, wenn mit Bezug auf die Verjährungsfrist ausschliesslich Art. 14 EHG zur Anwendung kommt, bestreitet der Kläger mit Recht nicht. Da sich der Unfall am 15. August 1949 ereignet hatte, lief die Verjährungsfrist nach dieser Bestimmung bis zum 15. August 1951. Innert dieser Frist hat der Kläger zur Unterbrechung der Verjährung des heute eingeklagten Anspruchs nichts vorgekehrt. Selbst wenn der im Strafurteil vom 31. Januar 1951 enthaltene Vorbehalt der Zivilansprüche der Geschädigten darauf zurückgehen sollte, dass der Kläger im Strafverfahren adhäsionsweise solche Ansprüche gestellt hatte, worüber die vorliegenden Akten keinen Aufschluss geben, so wäre dies schon deshalb unerheblich, weil die Beklagte am Strafverfahren nicht beteiligt war, so dass eine mit dem Strafprozess verbundene Zivilklage des Klägers sich nicht gegen sie, sondern nur gegen den angeklagten Motorwagenführer hätte richten können. Die Forderung von Fr. 100'000.--, die der Kläger beim Sühnversuch vom 13. August 1951 stellte, betrifft gemäss Feststellung der Vorinstanz keine weitern als die hernach mit der gerichtlichen Klage vom 19. Januar 1953 geltend gemachten Schadensposten, so dass dieser Sühnversuch die Verjährung nur hinsichtlich dieser Posten, nicht auch hinsichtlich der heute eingeklagten Schadenersatzforderung wegen Dauerinvalidität unterbrach. Diese Forderung war also bereits verjährt, als der Kläger am 19. Januar 1953 erstmals gerichtliche Klage erhob. Indem die Beklagte gegenüber dem vom Kläger damals gestellten Begehren, im Urteil sei für die Ansprüche aus einer über das Jahr 1953 hinaus dauernden Invalidität ein Nachklagevorbehalt anzubringen, nicht die Einrede der Verjährung dieser Ansprüche erhob, sondern jenem Begehren aus andern Gründen entgegentrat, hat sie nicht etwa durch schlüssiges Verhalten auf die eingetretene Verjährung der fraglichen Ansprüche schlechtweg verzichtet, womit eine neue Verjährungsfrist begonnen hätte, sondern sie hat damit lediglich BGE 84 II 202 S. 213 das Risiko auf sich genommen, dass der Richter trotz dem Ablauf der durch den Unfall in Gang gesetzten Verjährungsfrist einen solchen Nachklagevorbehalt ins Urteil aufnehmen könnte, wozu es dann aber nicht gekommen ist. Ob die Gründe, aus denen das Amtsgericht im Urteil vom 9. Juli 1955 den auf einen solchen Vorbehalt abzielenden Antrag abwies, stichhaltig seien oder nicht, und wie es sich verhielte, wenn diesem Antrag entsprochen worden wäre, hat die Vorinstanz richtigerweise nicht untersucht, weil heute an der Tatsache der Abweisung dieses Antrags, mit welcher der Kläger sich seinerzeit abgefunden hat, nichts mehr geändert werden kann. Am Einwand, dass die Beklagte die Verjährung rechtsmissbräuchlich angerufen habe, hält der Kläger vor Bundesgericht mit Recht nicht fest, weil die Voraussetzungen, unter denen die Erhebung dieser Einrede einen Rechtsmissbrauch bedeuten kann (vgl. BGE 69 II 102 ff., BGE 76 II 117 Erw. 5), hier offensichtlich nicht gegeben sind. Diese Einrede ist also zu Recht geschützt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