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174</w:t>
      </w:r>
    </w:p>
    <w:p>
      <w:r>
        <w:t>Bundesgericht (BGE), 1958-01-01, FR</w:t>
      </w:r>
    </w:p>
    <w:p>
      <w:r>
        <w:rPr>
          <w:b/>
        </w:rPr>
        <w:t xml:space="preserve">Quelle: </w:t>
      </w:r>
      <w:r>
        <w:t>https://mcp.opencaselaw.ch/entscheid/bge_BGE_84_II_174</w:t>
      </w:r>
    </w:p>
    <w:p>
      <w:r>
        <w:t>FR: ATF 84 II 174</w:t>
      </w:r>
    </w:p>
    <w:p>
      <w:r>
        <w:t>IT: DTF 84 II 174</w:t>
      </w:r>
    </w:p>
    <w:p>
      <w:pPr>
        <w:pStyle w:val="Heading2"/>
      </w:pPr>
      <w:r>
        <w:t>Regeste</w:t>
      </w:r>
    </w:p>
    <w:p>
      <w:r>
        <w:t>Regeste Kraftloserklärung von Inhaberaktien, Ausstellung neuer Titel, Art. 971/2, 981 ff. OR. Wirkungen der Kraftloserklärung vermisster Titel; Rechtsnatur des Begehrens um Ausstellung von Ersatztiteln (Erw. 1). Unzulässigkeit der Berufung gegen den Entscheid des kantonalen Richters, zur Beurteilung eines solchen Begehrens sei eine andere kantonale Behörde zuständig (Erw. 2).</w:t>
      </w:r>
    </w:p>
    <w:p>
      <w:r>
        <w:t>Regeste Annulation d'actions au porteur, délivrance de nouveaux titres, art. 971, 972, 981 et suiv. CO. Effets de l'annulation de titres perdus; nature juridique de la demande de titres de remplacement; droits du débiteur (consid. 1). Irrecevabilité du recours en réforme dirigé contre la décision par laquelle le juge cantonal déclare qu'une autre autorité cantonale est compétente pour connaître de la demande de titres de remplacement (consid. 2).</w:t>
      </w:r>
    </w:p>
    <w:p>
      <w:r>
        <w:t>Regesto Ammortamento di azioni al portatore, rilascio di nuovi titoli. Art. 971/2, 981 segg. CO. Effetti dell'ammortamento di titoli smarriti; natura giuridica della domanda volta a ottenere il rilascio di nuovi titoli; diritti del debitore (consid. 1). Irricevibilità del ricorso per riforma diretto contro una decisione del giudice cantonale che pronuncia la competenza di un'altra autorità cantonale a statuire sulla richiesta di titoli in sostituzione di quelli smarriti (consid. 2).</w:t>
      </w:r>
    </w:p>
    <w:p>
      <w:pPr>
        <w:pStyle w:val="Heading2"/>
      </w:pPr>
      <w:r>
        <w:t>Erwägungen</w:t>
      </w:r>
    </w:p>
    <w:p>
      <w:r>
        <w:rPr>
          <w:b/>
        </w:rPr>
        <w:t>E. 1</w:t>
      </w:r>
    </w:p>
    <w:p>
      <w:r>
        <w:t>Comme le Tribunal fédéral l'a déjà exposé dans son arrêt du 27 mars 1956, l'annulation prononcée selon les art. 971 et 986 al. 1 CO prive le titre de la légitimation formelle qu'il donne à son possesseur. Elle replace le requérant dans la situation où il se trouverait s'il détenait encore le papier-valeur, mais elle ne lui confère pas de nouveau droit envers le débiteur. Celui-ci ne subit aucune atteinte dans sa situation juridique et conserve toutes les BGE 84 II 174 S. 177 exceptions qu'il pouvait opposer à la partie requérante lorsqu'elle possédait encore le titre. Il peut donc contester l'existence même du droit qui était incorporé dans le papier-valeur ou nier que le requérant en soit le titulaire. En particulier, si l'annulation n'est pas demandée par celui qui a perdu le titre mais par un ayant cause, le débiteur peut exciper du fait que le droit n'a pas été transféré valablement. Après l'annulation, il est évident que le débiteur doit être admis à soulever toutes ses exceptions lorsque celui qui a obtenu cette mesure fait directement valoir ses droits envers lui, par exemple en demandant le paiement de la dette exigible. Mais il en est de même si c'est la création d'un nouveau titre qui est requise. En effet, ni l'art. 972 ni l'art. 986 CO ne font de différence entre la faculté pour le requérant d'exercer ses droits et celle de demander la délivrance d'un titre de remplacement. En outre, cette dernière mesure constitue une reconnaissance de dette; or on ne saurait y obliger le débiteur sans qu'il ait pu soulever les exceptions dont il dispose. Bien plus, en transférant le nouveau papier-valeur à un acquéreur de bonne foi, le requérant aurait la possibilité, s'il s'agit d'un titre à ordre ou au porteur, de priver le débiteur des exceptions que celui-ci a contre lui personnellement (art. 979 al. 2 et 1007 CO). Dès lors, il ne suffit pas que le débiteur puisse soulever ses exceptions au moment où la personne qui a obtenu l'annulation ou son ayant cause fait valoir des droits en se fondant sur le titre de remplacement. Il doit pouvoir le faire dès que la délivrance d'un nouveau papier-valeur est demandée. Ainsi, cette dernière mesure ne fait plus partie de la procédure d'annulation, qui est une procédure gracieuse, dans laquelle le débiteur ne peut intervenir en qualité de défendeur ou d'opposant. Si le débiteur refuse de créer un titre de remplacement, celui qui a obtenu l'annulation doit l'actionner en justice, dans une procédure contentieuse qui permette aux deux parties de faire valoir tous leurs BGE 84 II 174 S. 178 droits. C'est du reste ce qu'a dit le Tribunal fédéral en exposant, dans son arrêt du 27 mars 1956, que la délivrance des nouveaux titres ne pouvait être ordonnée dans la même procédure que l'annulation, mais exigeait la présentation d'une seconde requête.</w:t>
      </w:r>
    </w:p>
    <w:p>
      <w:r>
        <w:rPr>
          <w:b/>
        </w:rPr>
        <w:t>E. 2</w:t>
      </w:r>
    </w:p>
    <w:p>
      <w:r>
        <w:t>En l'espèce, cependant, le Président du Tribunal n'a pas statué sur le fond du droit. Il a, il est vrai, considéré dans ses motifs que la demande de l'Institut central posait des questions de fond qui relevaient du droit fédéral. Mais les considérants ne participent pas, en règle générale, à l'autorité de la chose jugée et, si ce principe souffre des exceptions, aucune d'elles n'est donnée en l'occurrence. Ainsi, le juge genevois s'est en définitive prononcé seulement sur sa compétence; il l'a niée et a renvoyé l'Institut central à mieux agir. Celui-ci conserve donc tous ses droits et la faculté de les faire valoir devant le juge. Dans ces conditions, le jugement attaqué n'est pas une décision finale donnant ouverture au recours en réforme selon l'art. 48 OJ. L'art. 49 OJ permet, il est vrai, de recourir en réforme contre certaines décisions préjudicielles ou incidentes pour violation des prescriptions de droit fédéral au sujet de la compétence à raison de la matière ou du lieu. Toutefois, la question de savoir quelle juridiction genevoise est compétente pour connaître de la demande de l'Institut central ressortit exclusivement à la procédure cantonale. En niant sa compétence, le Président du Tribunal n'a donc pu violer aucune prescription de droit fédéral. Dès lors,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