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164</w:t>
      </w:r>
    </w:p>
    <w:p>
      <w:r>
        <w:t>Bundesgericht (BGE), 1958-01-01, FR</w:t>
      </w:r>
    </w:p>
    <w:p>
      <w:r>
        <w:rPr>
          <w:b/>
        </w:rPr>
        <w:t xml:space="preserve">Quelle: </w:t>
      </w:r>
      <w:r>
        <w:t>https://mcp.opencaselaw.ch/entscheid/bge_BGE_84_II_164</w:t>
      </w:r>
    </w:p>
    <w:p>
      <w:r>
        <w:t>FR: ATF 84 II 164</w:t>
      </w:r>
    </w:p>
    <w:p>
      <w:r>
        <w:t>IT: DTF 84 II 164</w:t>
      </w:r>
    </w:p>
    <w:p>
      <w:pPr>
        <w:pStyle w:val="Heading2"/>
      </w:pPr>
      <w:r>
        <w:t>Regeste</w:t>
      </w:r>
    </w:p>
    <w:p>
      <w:r>
        <w:t>Regeste Agenturvertrag, Art. 418 lit. u OR. Voraussetzungen, unter denen dem Agenten nach Auflösung des Vertrages ein Entschädigungsanspruch für die geworbene Kundschaft zusteht.</w:t>
      </w:r>
    </w:p>
    <w:p>
      <w:r>
        <w:t>Regeste Contrat d'agence, art. 418 lit. u CO. Quand une indemnité est-elle due à l'agent, après la fin du contrat, pour la clientèle acquise?</w:t>
      </w:r>
    </w:p>
    <w:p>
      <w:r>
        <w:t>Regesto Contratto di agenzia, art. 418 lett. u CO. Quando è dovuta un'indennità all'agente, dopo la fine del contratto, per la clientela acquisita?</w:t>
      </w:r>
    </w:p>
    <w:p>
      <w:pPr>
        <w:pStyle w:val="Heading2"/>
      </w:pPr>
      <w:r>
        <w:t>Erwägungen</w:t>
      </w:r>
    </w:p>
    <w:p>
      <w:r>
        <w:rPr>
          <w:b/>
        </w:rPr>
        <w:t>E. 4</w:t>
      </w:r>
    </w:p>
    <w:p>
      <w:r>
        <w:t>S'agissant d'un contrat d'agence, Parisi fonde sa demande d'indemnité sur l'art. 418 lit. u al. 1 CO. Cette disposition légale confère à l'agent le droit à une indemnité pour la clientèle lorsque, par son activité, il "a augmenté sensiblement le nombre des clients du mandant" et que ce dernier tire un profit effectif de cette augmentation, même après la fin du contrat. La cour cantonale a constaté souverainement qu'en dixsept mois d'activité, Parisi a procuré au défendeur 38 clients nouveaux, alors que les anciens étaient au nombre de 85. C'est avec raison que le juge cantonal a vu là une augmentation "sensible" selon l'art. 418 lit. u CO. Le premier juge a constaté en outre que la plupart de ces nouveaux clients sont demeurés fidèles à Virchaux. Il en a conclu à juste titre que le défendeur tire encore un profit effectif du travail de son agent. Les conditions auxquelles l'art. 418 lit. u CO subordonne le droit à une indemnité sont donc remplies en l'espèce.</w:t>
      </w:r>
    </w:p>
    <w:p>
      <w:r>
        <w:rPr>
          <w:b/>
        </w:rPr>
        <w:t>E. 5</w:t>
      </w:r>
    </w:p>
    <w:p>
      <w:r>
        <w:t>Mais cette disposition légale prévoit que l'indemnité "ne peut cependant pas dépasser le gain annuel net résultant du contrat et calculé d'après la moyenne des cinq dernières années ou d'après celle de la durée entière du contrat si celui-ci a duré moins longtemps". Il est clair que par "le gain ... résultant du contrat", la loi vise le gain réalisé par l'agent. De plus et contrairement à ce que soutient Parisi, il faut entendre par "gain annuel net" le gain réalisé par lui après déduction de tous les frais qu'il a engagés à cet effet. Or, dans la mesure où ils sont afférents à l'acquisition de commandes pour le compte du mandant, les frais de voyage rentrent au nombre des articles qu'il faut déduire dans le calcul du gain annuel net. Cela est d'autant plus certain que, selon le système de la loi et sauf convention ou usage contraire, les frais et débours résultant de l'exercice normal de son activité sont à la charge de l'agent (art. 418 lit. u CO). Ce n'est donc pas seulement, comme le soutient Parisi, lorsque les frais incombent au BGE 84 II 164 S. 167 mandant qu'ils sont déductibles, ils le sont aussi lorsque l'agent doit les supporter lui-même. Aussi bien est-ce avec raison que le premier juge a déduit les frais de voyage du demandeur pour déterminer le "gain annuel net". Or, se fondant d'une part sur les propres affirmations du demandeur en procédure et, d'autre part, sur les gains établis et sur une estimation des dépenses effectives, la cour cantonale a constaté qu'en moyenne les frais de voyage afférents à l'activité de Parisi pour la maison Viso étaient au moins aussi élevés que ses commissions. C'est là une constatation souveraine et que le recourant, du reste, ne conteste pas en principe. Il en faut conclure que, conformément à l'art. 418 lit. u al. 2 CO, Parisi n'a droit à aucune indemnité. Cette solution est conforme non seulement au texte clair de la loi, mais aussi à la volonté du législateur. La disposition légale précitée, introduite au cours des débats parlementaires, limite le droit à l'indemnité pour la clientèle, dont le principe même avait été fort contesté. Elle crée en effet, en faveur de l'agent, un privilège dont ne bénéficie pas l'employé lié par un contrat de travail dans les mêmes conditions. Une proposition tendant à atténuer la rigueur de cette limitation a été rejetée. Le législateur a donc bien entendu qu'en aucun cas, l'indemnité ne puisse dépasser le gain annuel net. Lorsque ce gain est nul, elle doit être refusée totalement, alors même que les conditions auxquelles la loi la subordonne par ailleurs sont remplies (Bull. Stén. CE 1949, par 65, Ire colonne, 3e alinéa).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