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158</w:t>
      </w:r>
    </w:p>
    <w:p>
      <w:r>
        <w:t>Bundesgericht (BGE), 1958-01-01, FR</w:t>
      </w:r>
    </w:p>
    <w:p>
      <w:r>
        <w:rPr>
          <w:b/>
        </w:rPr>
        <w:t xml:space="preserve">Quelle: </w:t>
      </w:r>
      <w:r>
        <w:t>https://mcp.opencaselaw.ch/entscheid/bge_BGE_84_II_158</w:t>
      </w:r>
    </w:p>
    <w:p>
      <w:r>
        <w:t>FR: ATF 84 II 158</w:t>
      </w:r>
    </w:p>
    <w:p>
      <w:r>
        <w:t>IT: DTF 84 II 158</w:t>
      </w:r>
    </w:p>
    <w:p>
      <w:pPr>
        <w:pStyle w:val="Heading2"/>
      </w:pPr>
      <w:r>
        <w:t>Regeste</w:t>
      </w:r>
    </w:p>
    <w:p>
      <w:r>
        <w:t>Regeste Automobilkauf. 1. Übergang von Nutzen und Gefahr, Art. 185 OR. a) Individualisierung der Sache gemäss Art. 185 Abs. 2. Wann liegt der Fall vor, dass die Sache "versendet werden soll"? (Erw. 1a). b) Auslegung von Art. 185 Abs. 1. Gefahrsübergang, wenn der Verkäufer sich die Sache auf seine Kosten zusenden lässt (Erw. 1b). 2. Kann ein Wagen, der einen Zusammenstoss von gewisser Bedeutung erlitten hat, noch als neu verkauft werden? (Erw. 2).</w:t>
      </w:r>
    </w:p>
    <w:p>
      <w:r>
        <w:t>Regeste Vente d'une voiture automobile. 1. Transfert des profits et des risques, art. 185 CO. a) Individualisation de la chose selon l'art. 185 al. 2. Quand la chose doit-elle "être expédiée dans un autre lieu"? (consid. 1a). b) Interprétation de l'art. 185 al. 1. Transfert des profits et des risques lorsque le vendeur se fait expédier la chose à ses frais (consid. 1b). 2. Une voiture qui a subi un choc d'une certaine importance peut-elle encore être vendue comme neuve? (consid. 2).</w:t>
      </w:r>
    </w:p>
    <w:p>
      <w:r>
        <w:t>Regesto Vendita di un'automobile. 1. Trasferimento degli utili e dei rischi, art. 185 CO. a) Individualizzazione della cosa venduta a norma dell'art. 185 cp. 2 CO. Quando ricorre il caso che la cosa "debba essere spedita"? (consid. 1a). b) b) Interpretazione dell'art. 185 cp. 1. Trasferimento degli utili e dei rischi nel caso in cui il venditore si faccia spedire la cosa a sue spese (consid. 1b). 2. Una vettura, che ha già subito un cozzo di una certa importanza, può essere venduta come nuova? (consid. 2).</w:t>
      </w:r>
    </w:p>
    <w:p>
      <w:pPr>
        <w:pStyle w:val="Heading2"/>
      </w:pPr>
      <w:r>
        <w:t>Erwägungen</w:t>
      </w:r>
    </w:p>
    <w:p>
      <w:r>
        <w:rPr>
          <w:b/>
        </w:rPr>
        <w:t>E. 1</w:t>
      </w:r>
    </w:p>
    <w:p>
      <w:r>
        <w:t>Comme dans les instances cantonales, la recourante prétend en premier lieu que les profits et les risques de la chose avaient, selon l'art. 185 al. 1 CO, passé à l'acheteur dès la conclusion du contrat; ainsi, Barambon devrait supporter lui-même les conséquences de la collision subie par la voiture. a) La Cour de justice n'a pas admis cette thèse, en se fondant sur l'art. 185 al. 2 CO. Sans doute, a-t-elle exposé, la chose vendue a été individualisée; mais elle devait être expédiée dans un autre lieu et la venderesse ne s'en était pas dessaisie puisque, lors de l'accident, le véhicule n'était pas conduit directement chez l'acheteur mais au garage en vue de sa livraison. C'est avec raison que la juridiction cantonale a admis que l'automobile vendue avait été individualisée. Il est constant, en effet, que la voiture conduite de Zurich à Genève correspondait au contrat du 30 août 1956 et était destinée à Barambon. Dès lors, l'individualisation était valable, bien que la venderesse l'eût opérée unilatéralement, sans la porter à la connaissance de l'acheteur. En revanche, la Cour de justice a considéré à tort que l'automobile devait être "expédiée dans un autre lieu" au sens de l'art. 185 al. 2 CO. Cette expression, en effet, ne vise pas n'importe quel transport dont la chose vendue peut être l'objet avant la livraison. La disposition de l'art. 185 al. 2 i.f. CO se rapporte uniquement aux ventes à distance, c'est-à-dire aux ventes dans lesquelles la chose n'est pas livrée au lieu de l'exécution, mais doit être expédiée à l'acheteur ou à son mandataire dans un autre BGE 84 II 158 S. 161 lieu (OSER/SCHÖNENBERGER, CO, ad art. 185, rem. 10, et ad art. 184, rem. 37; BECKER, CO, ad art. 185, rem. 8). Rien de semblable n'avait été convenu en l'espèce. Les parties avaient simplement stipulé que le lieu de l'exécution était Genève et, faute d'indication plus précise, il se trouvait au domicile de la venderesse en vertu de l'art. 74 al. 2 ch. 3 CO. L'acheteur devait donc prendre livraison de la voiture au garage. Dans ces conditions, il ne s'agissait pas d'une vente à distance. Ainsi, l'intimé ne saurait se fonder sur l'art. 185 al. 2 CO pour prétendre que les risques étaient restés à la charge de la venderesse et l'art. 185 al. 1 CO est seul applicable en l'espèce. b) En vertu de cette dernière disposition, les profits et les risques passent en principe à l'acquéreur dès la conclusion de la vente. Il n'en est autrement qu'en cas de circonstances ou de stipulations particulières. L'art. 185 al. 1 CO consacre ainsi une règle qui déroge à plus d'un point de vue au système juridique suisse. Il constitue d'abord une exception au principe selon lequel le propriétaire, qui dispose de la chose, en a les risques et les profits. Il déroge de plus à la règle générale de l'art. 119 al. 2 CO, en vertu duquel le contractant libéré parce que l'exécution de sa prestation est devenue impossible ne peut plus prétendre à la contre-prestation promise par l'autre partie (cf. également les art. 220, 254, 376 et, a contrario, l'art. 390 al. 1 CO, qui obéissent au principe de l'art. 119 al. 2 CO). Il est du reste contraire aux conceptions généralement admises dans le public (comme le relève avec raison OSER/SCHÖNENBERGER, CO, ad art. 185, rem. 2; cf. également RSJ 1952 p. 179). Dans ces conditions, il faut appliquer restrictivement le principe selon lequel les profits et les risques passent à l'acheteur dès que le contrat est conclu et on doit admettre très largement les "exceptions résultant de circonstances ou de stipulations particulières", qui sont réservées par l'art. 185 al. 1 CO. Ainsi, le Tribunal fédéral a jugé, BGE 84 II 158 S. 162 dans son arrêt Verzinkerei Zug AG c. Debrunner &amp; Cie (RO 52 II 362 consid. 1), que le vendeur supportait les risques du transport lorsqu'il expédiait franco la marchandise à son propre représentant au lieu de l'exécution; en effet - a exposé la juridiction fédérale - l'acheteur est, dans ce cas, privé de toute possibilité de disposer de la marchandise pendant le transport et de prendre des mesures pour écarter les risques (cf. également RO 46 II 460). Il en était de même en l'espèce. Comme la voiture vendue se trouvait à Zurich, le lieu de l'exécution de la prestation de la venderesse eût été Zurich en vertu de l'art. 74 ch. 2 CO. Mais les parties ont dérogé à cette règle en désignant Genève comme lieu de l'exécution. Dès lors, le transport de Zurich à Genève a été opéré aux frais et pour le compte de la venderesse, chez qui l'automobile devait être conduite. C'est elle qui, pendant ce trajet, avait la disposition de la voiture et qui était juge des mesures à prendre. Aussi bien a-t-elle décidé elle-même du mode de transport et choisi le conducteur, à qui elle a donné ses instructions. Dès lors, elle doit être réputée avoir pris à sa charge les risques afférents à ce transport. Le comportement que la recourante a eu après l'accident révèle du reste clairement qu'à son avis la voiture était transportée à ses propres risques. Le fait qu'elle a ordonné la réparation des dégâts et qu'elle a offert à Barambon une réduction de prix peut éventuellement être considéré comme une concession gracieuse fondée sur des motifs de politique commerciale. Mais elle a, de plus, traité elle-même la question des dommages-intérêts avec l'assureur de l'automobiliste qui avait provoqué l'accident. Elle a ainsi tenu l'acheteur à l'écart de ces discussions et, en réglant l'affaire directement, elle l'a privé de la possibilité de faire valoir les prétentions qu'il pouvait fonder sur la dépréciation de la voiture. Par cette attitude, elle a manifesté l'idée que la collision la lésait elle-même et, dès lors, qu'elle supportait les risques du transport. Dans ces conditions, elle se prévaut à tort de l'art. 185 CO. BGE 84 II 158 S. 163</w:t>
      </w:r>
    </w:p>
    <w:p>
      <w:r>
        <w:rPr>
          <w:b/>
        </w:rPr>
        <w:t>E. 2</w:t>
      </w:r>
    </w:p>
    <w:p>
      <w:r>
        <w:t>Selon la Cour cantonale, la voiture réparée offerte par la société ne correspond pas à celle qui est mentionnée dans le contrat du 30 août 1956; Barambon entendait obtenir une voiture neuve; or l'automobile que lui destine la venderesse n'a plus cette qualité, puisqu'elle a subi un accident qui a provoqué des frais de remise en état pour 900 fr.; il importe peu que, selon les attestations produites par la société, la voiture ait été bien réparée et ne soit pas dépréciée techniquement; il est clair, en effet, que le fait d'avoir subi un accident entraînera une réduction du prix en cas de revente. Le Tribunal fédéral n'a rien à reprendre à cette argumentation. Sans être grave, le choc subi par la voiture qu'offre la société n'était pas dénué d'importance. Or il est notoire qu'un tel accident déprécie une automobile. C'est le cas même si les dégâts apparents ont été parfaitement réparés. Une collision d'une certaine violence peut en effet avoir sur les organes mécaniques du véhicule des effets qui ne se révèlent qu'à la longue. L'automobile offerte par la venderesse est ainsi entachée d'un défaut qui, s'il ne diminue peut-être pas l'utilité de la chose, en restreint en revanche la valeur dans une notable mesure. La recourante relève en vain que les carrosseries des voitures subissent fréquemment des dégâts lors du transport et des opérations de chargement. Il s'agit alors de dommages insignifiants, qui sont loin d'avoir l'importance de ceux qu'a subis en l'espèce le véhicule destiné à l'intimé. Ainsi, la société prétend à tort qu'elle offre une prestation conforme au contrat et que l'acheteur est tenu, de son côté, d'exécuter les contre-prestations promises. Au contraire, comme la venderesse n'entendait exécuter ses obligations qu'imparfaitement, l'intimé était fondé à refuser la livraison et à se départir du contrat. Dès lors, c'est avec raison que l'action a été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