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145</w:t>
      </w:r>
    </w:p>
    <w:p>
      <w:r>
        <w:t>Bundesgericht (BGE), 1958-01-01, DE</w:t>
      </w:r>
    </w:p>
    <w:p>
      <w:r>
        <w:rPr>
          <w:b/>
        </w:rPr>
        <w:t xml:space="preserve">Quelle: </w:t>
      </w:r>
      <w:r>
        <w:t>https://mcp.opencaselaw.ch/entscheid/bge_BGE_84_II_145</w:t>
      </w:r>
    </w:p>
    <w:p>
      <w:r>
        <w:t>FR: ATF 84 II 145</w:t>
      </w:r>
    </w:p>
    <w:p>
      <w:r>
        <w:t>IT: DTF 84 II 145</w:t>
      </w:r>
    </w:p>
    <w:p>
      <w:pPr>
        <w:pStyle w:val="Heading2"/>
      </w:pPr>
      <w:r>
        <w:t>Regeste</w:t>
      </w:r>
    </w:p>
    <w:p>
      <w:r>
        <w:t>Regeste Die Nebenfolgen der Ehetrennung sind in dem die Trennung aussprechenden Urteil zu regeln (und zwar wenn immer möglich auch die bei Anordnung der Gütertrennung nötige güterrechtliche Auseinandersetzung).</w:t>
      </w:r>
    </w:p>
    <w:p>
      <w:r>
        <w:t>Regeste Les effets accessoires de la séparation de corps doivent être réglés dans le jugement qui la prononce. Ce principe vaut également pour la liquidation du régime matrimonial, dans la mesure où cela est possible, lorsque la séparation de biens est ordonnée.</w:t>
      </w:r>
    </w:p>
    <w:p>
      <w:r>
        <w:t>Regesto Le conseguenze accessorie della separazione dei coniugi devono essere regolate nella sentenza che pronuncia la separazione medesima. Ciò vale, per quanto sia possibile, pure per la liquidazione del regime matrimoniale che ha luogo nel caso in cui venga prescritta la separazione dei beni.</w:t>
      </w:r>
    </w:p>
    <w:p>
      <w:pPr>
        <w:pStyle w:val="Heading2"/>
      </w:pPr>
      <w:r>
        <w:t>Volltext</w:t>
      </w:r>
    </w:p>
    <w:p>
      <w:r>
        <w:t>Bundesgericht (BGE) Band II 1958 BGE 84 II 145 Tribunal fédéral (ATF) Volume II 1958 BGE 84 II 145 Tribunale federale (DTF) Volume II 1958 BGE 84 II 145</w:t>
      </w:r>
    </w:p>
    <w:p>
      <w:r>
        <w:t>Regeste Die Nebenfolgen der Ehetrennung sind in dem die Trennung aussprechenden Urteil zu regeln (und zwar wenn immer möglich auch die bei Anordnung der Gütertrennung nötige güterrechtliche Auseinandersetzung). Regeste Les effets accessoires de la séparation de corps doivent être réglés dans le jugement qui la prononce. Ce principe vaut également pour la liquidation du régime matrimonial, dans la mesure où cela est possible, lorsque la séparation de biens est ordonnée. Regesto Le conseguenze accessorie della separazione dei coniugi devono essere regolate nella sentenza che pronuncia la separazione medesima. Ciò vale, per quanto sia possibile, pure per la liquidazione del regime matrimoniale che ha luogo nel caso in cui venga prescritta la separazione dei beni.</w:t>
      </w:r>
    </w:p>
    <w:p>
      <w:r>
        <w:t>Urteilskopf 84 II 145 19. Auszug aus dem Urteil der II. Zivilabteilung vom 22. Mai 1958 i.S. Eheleute F. Regeste Die Nebenfolgen der Ehetrennung sind in dem die Trennung aussprechenden Urteil zu regeln (und zwar wenn immer möglich auch die bei Anordnung der Gütertrennung nötige güterrechtliche Auseinandersetzung). Erwägungen ab Seite 145 BGE 84 II 145 S. 145 Nach der Rechtsprechung des Bundesgerichtes hat der Richter, der die Scheidung ausspricht, von Bundesrechts wegen zugleich auch die Nebenfolgen zu regeln; höchstens für die güterrechtliche Auseinandersetzung darf er eine Ausnahme machen ( BGE 77 II 18 ff., Urteil vom 6. Juli i.S. Leimgruber, BGE 80 II 5 ff.). Die in den eben angeführten Entscheiden dargelegten Erwägungen, die das Bundesgericht zu dieser Auffassung führten, gelten in entsprechender Weise auch für den Fall der Trennung. Wie ein Scheidungsurteil muss daher ein auf Trennung lautendes Urteil unter Vorbehalt der güterrechtlichen Auseinandersetzung alle Nebenfolgen ordnen. Dieser Schluss drängt sich um so mehr auf, als es dem Zweck der Trennung, im Verhältnis der Ehegatten eine Beruhigung herbeizuführen, geradeswegs zuwiderliefe, wenn während der Trennungszeit noch über die Nebenfolgen der Trennung prozessiert werden müsste. Auch die güterrechtliche Auseinandersetzung, die nötig wird, wenn nach Art. 155 BGE 84 II 145 S. 146 ZGB die Gütertrennung angeordnet wird, ist daher wenn immer möglich im Trennungsurteil zu regeln. Mit diesen aus dem Bundesrecht sich ergebenden Grundsätzen hat sich die Vorinstanz in Widerspruch gesetzt, indem sie die Trennung aussprach und die Sache zur Regelung aller Nebenfolgen (insbesondere auch der Kinderzuteilung und der damit zusammenhängenden Fragen) an das Bezirksgericht zurückwies. Die Berufungen beider Parteien sind daher in dem Sinne gutzuheissen, dass das angefochtene Urteil aufgehoben und die Sache zur Neubeurteilung an die Vorinstanz zurückgewiessen wird. Will diese im Hauptpunkt an ihrer bisherigen Auffassung festhalten oder kommt sie etwa zum Schlusse, dass das Scheidungsbegehren des Klägers begründet sei, so hat sie entweder selber ein die Trennung bezw. Scheidung aussprechendes und zugleich die Nebenfolgen ordnendes Urteil zu erlassen oder (was ihr durch das Bundesrecht nicht verwehrt wird) die Sache zur Ausfällung eines solchen Urteils an das Bezirksgericht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