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76</w:t>
      </w:r>
    </w:p>
    <w:p>
      <w:r>
        <w:t>Bundesgericht (BGE), 1958-07-16, FR</w:t>
      </w:r>
    </w:p>
    <w:p>
      <w:r>
        <w:rPr>
          <w:b/>
        </w:rPr>
        <w:t xml:space="preserve">Quelle: </w:t>
      </w:r>
      <w:r>
        <w:t>https://mcp.opencaselaw.ch/entscheid/bge_BGE_84_III_76</w:t>
      </w:r>
    </w:p>
    <w:p>
      <w:r>
        <w:t>FR: ATF 84 III 76</w:t>
      </w:r>
    </w:p>
    <w:p>
      <w:r>
        <w:t>IT: DTF 84 III 76</w:t>
      </w:r>
    </w:p>
    <w:p>
      <w:pPr>
        <w:pStyle w:val="Heading2"/>
      </w:pPr>
      <w:r>
        <w:t>Regeste</w:t>
      </w:r>
    </w:p>
    <w:p>
      <w:r>
        <w:t>Regeste Art. 79 Abs. 1 OG. Zulässigkeit neuer Beweismittel, die der Rekurrent im kantonalen Verfahren anzubringen keine Veranlassung gehabt hatte. Art. 123 SchKG. Anrechnung der Zahlungen von Drittschuldern auf die Abschlagszahlungen, die der im Genuss eines Verwertungsaufschubes stehende Schuldner zu leisten hat.</w:t>
      </w:r>
    </w:p>
    <w:p>
      <w:r>
        <w:t>Regeste Art. 79 al. 1 OJ. Recevabilité de nouveaux moyens de preuve que le recourant n'avait pas de raisons de présenter dans l'instance cantonale. Art. 123 LP. Imputation des sommes versées par des tiers débiteurs sur les acomptes dus par le débiteur qui bénéficie d'un renvoi de la vente.</w:t>
      </w:r>
    </w:p>
    <w:p>
      <w:r>
        <w:t>Regesto Art. 79 cp. 1 OG. Ammissibilità di mezzi di prova nuovi che il ricorrente non aveva motivo alcuno per proporre nella procedura cantonale. Art. 123 LEF. Computo delle somme versate da terzi debitori sugli acconti dovuti dal debitore che fruisce di un differimento della vendita.</w:t>
      </w:r>
    </w:p>
    <w:p>
      <w:pPr>
        <w:pStyle w:val="Heading2"/>
      </w:pPr>
      <w:r>
        <w:t>Erwägungen</w:t>
      </w:r>
    </w:p>
    <w:p>
      <w:r>
        <w:rPr>
          <w:b/>
        </w:rPr>
        <w:t>E. 1</w:t>
      </w:r>
    </w:p>
    <w:p>
      <w:r>
        <w:t>Il est exact que l'échéance du 24 mai tombait dans les féries et que le délai de paiement était prolongé jusqu'au 4 juin 1958 en vertu de l'art. 63 LP. Or le récépissé postal produit par le recourant démontre qu'à cette date, Maurer avait déjà effectué son second versement de 3200 fr. Il est vrai que ce document constitue une preuve nouvelle et que le recourant ne prétend point qu'il n'en disposait pas encore lorsqu'il a porté plainte. Mais il n'avait alors aucune raison de le produire, car il pouvait admettre que l'Office des poursuites donnerait des renseignements exacts à l'Autorité de surveillance. Cette nouvelle preuve est donc recevable (art. 79 al. 1 OJ; RO 73 III 33, 77 III 129). Dans ces conditions, l'acompte du 24 mai a été payé en temps utile, si les versements de Maurer doivent être imputés sur les montants dus par le débiteur.</w:t>
      </w:r>
    </w:p>
    <w:p>
      <w:r>
        <w:rPr>
          <w:b/>
        </w:rPr>
        <w:t>E. 2</w:t>
      </w:r>
    </w:p>
    <w:p>
      <w:r>
        <w:t>Le Tribunal fédéral a déjà tranché la question par l'affirmative dans le cas où le débiteur est soumis à une saisie de salaire. En règle générale, a-t-il dit, l'Office des poursuites fixe le montant des acomptes de façon que la dette soit éteinte à l'expiration du sursis; or elle s'éteindrait auparavant déjà si l'on ne prenait pas la saisie de salaire en considération; on enlèverait ainsi aux débiteurs frappés d'une telle saisie la faculté d'obtenir un sursis de la durée maximum prévue par l'art. 123 LP, alors qu'il n'y a aucune raison de les traiter plus rigoureusement que les autres; il y a donc lieu, tout en fixant des acomptes assez élevés pour couvrir la dette à eux seuls, d'imputer sur les sommes à verser par le débiteur le montant effectivement retenu sur son salaire (RO 74 III 17/18). Cette argumentation est également applicable lorsqu'on a saisi d'autres créances du débiteur contre des tiers, qui se libèrent en mains de l'Office. Ne pas tenir compte de tels versements reviendrait en effet à réduire la durée du sursis. En outre, on risquerait de placer le débiteur BGE 84 III 76 S. 79 dans une situation difficile, car il se peut qu'il ait précisément compté sur ces paiements pour s'acquitter des engagements assumés envers l'Office. Dès lors, les versements de tiers doivent être imputés sur les acomptes dus par le débiteur. Il se peut, certes, que de tels paiements améliorent la situation du débiteur et que celui-ci soit alors en mesure d'acquitter immédiatement la dette ou de verser des acomptes plus importants. Mais, s'il en est ainsi, le créancier peut demander à l'Autorité de surveillance, en vertu de l'art. 123 al. 5 LP, de révoquer le renvoi ou de le subordonner au versement d'acomptes plus élevés. Dispositiv Par ces motifs, la Chambre des poursuites et des faillites Admet le recours et annule la décision prise par l'Office des poursuites de Genève le 7 juin 1958.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