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III 141</w:t>
      </w:r>
    </w:p>
    <w:p>
      <w:r>
        <w:t>Bundesgericht (BGE), 1958-01-01, DE</w:t>
      </w:r>
    </w:p>
    <w:p>
      <w:r>
        <w:rPr>
          <w:b/>
        </w:rPr>
        <w:t xml:space="preserve">Quelle: </w:t>
      </w:r>
      <w:r>
        <w:t>https://mcp.opencaselaw.ch/entscheid/bge_BGE_84_III_141</w:t>
      </w:r>
    </w:p>
    <w:p>
      <w:r>
        <w:t>FR: ATF 84 III 141</w:t>
      </w:r>
    </w:p>
    <w:p>
      <w:r>
        <w:t>IT: DTF 84 III 141</w:t>
      </w:r>
    </w:p>
    <w:p>
      <w:pPr>
        <w:pStyle w:val="Heading2"/>
      </w:pPr>
      <w:r>
        <w:t>Regeste</w:t>
      </w:r>
    </w:p>
    <w:p>
      <w:r>
        <w:t>Regeste Berufung. Unwirksamkeit einer Berufung, mit der nur eine Verletzung ausländischen Rechts (oder des als Ersatz dafür angewendeten schweizerischen Rechts) gerügt wird (Erw. 1). Widerspruchsverfahren (Art. 106 ff. SchKG). 1. Kann der Richter einen Widerspruchsprozess als gegenstandslos erklären, weil die Betreibung, in welcher das Widerspruchsverfahren eröffnet wurde, nach seiner Auffassung nichtig ist? (Erw. 2). 2. Die Parteirollenverteilung hat auf die Beweislast im Prozess keinen Einfluss (Erw. 3 Abs. 3). 3. Die Drittansprüche, die der Pfändung entgegengehalten werden, sind gegenüber dem Betreibungsamt genau zu bezeichnen. Mit Ausnahme des Falles, dass anstelle des zunächst beanspruchten Eigentums ein Pfandrecht geltend gemacht wird, hat der Richter im Widerspruchsprozess nur diejenigen Ansprüche zu beurteilen, über welche das Betreibungsamt auf Grund einer solchen Anmeldung das Widerspruchsverfahren eröffnet hat (Erw. 5). 4. Das Widerspruchsverfahren kann nicht dazu dienen, Vermögenswerte, die anerkanntermassen dem betriebenen Schuldner gehören, der Verwertung in einem Verfahren zu entziehen, in welchem der Schuldner nach Ansicht des Einsprechers nicht gesetzmässig vertreten ist. Die Frage der Vertretung im Betreibungsverfahren (hier: die Frage, ob die Vertretunsgbefugnis der von einem ausländischen Staat ernannten Zwangsverwalter einer ausländischen Handelsgesellschaft in der Schweiz anzuerkennen sei) ist von den Betreibungsbehörden zu entscheiden (Erw. 6). Übertragung des Eigentums an Wertschriften, die in einem Bankdepot liegen (Art. 714 ZGB). Erfordernisse. Fehlender Nachweis eines gültigen Grundgeschäftes. Vermutung des Eigentums auf Grund des Besitzes (Art. 930 ZGB)? (Erw. 3).</w:t>
      </w:r>
    </w:p>
    <w:p>
      <w:r>
        <w:t>Regeste Recours en réforme. Irrecevabilité d'un recours en réforme qui ne dénonce qu'une violation du droit étranger (ou du droit suisse appliqué comme droit étranger subsidiaire) (consid. 1). Procédure de revendication (art. 106 et suiv. LP). 1. Le juge peut-il déclarer qu'une action en revendication est sans objet parce qu'il tient pour nulle la poursuite dans laquelle la procédure de revendication a été ouverte? (consid. 2). 2. La répartition des rôles dans le procès n'influe pas sur celle du fardeau de la preuve (consid. 3 al. 3). 3. Les tierces prétentions qui sont opposées à la saisie doivent être déclarées avec précision à l'office des poursuites. Sauf dans le cas où l'on fait valoir un droit de gage en lieu et place d'un droit de propriété invoqué d'abord, le juge ne doit se prononcer, dans le procès en revendication, que sur les prétentions pour lesquelles, sur la base d'une telle déclaration, l'office des poursuites a ouvert la procédure de revendication (consid. 5). 4. La procédure de revendication ne peut servir à soustraire à la réalisation, dans une procédure où le débiteur n'est pas représenté légalement d'après l'opposant, des biens dont il est constant qu'ils appartiennent au débiteur. Il appartient aux autorités de poursuite de statuer sur la question de la représentation dans la procédure de poursuite (en l'espèce: question de savoir si l'on doit admettre en Suisse le pouvoir de représentation de l'administrateur qu'un Etat étranger a imposé à une société commerciale étrangère) (consid. 6). Transfert de la propriété de papiers-valeurs déposés dans une banque (art. 714 CC). Conditions. Défaut de preuve d'une cause juridique valable. Présomption de la propriété sur la base de la possession (art. 930 CC)? (consid. 3).</w:t>
      </w:r>
    </w:p>
    <w:p>
      <w:r>
        <w:t>Regesto Ricorso per riforma. Irricevibilità di un ricorso per riforma con il quale è allegata soltanto una violazione del diritto straniero (o del diritto svizzero applicato come diritto straniero sussidiario) (consid. 1). Procedura di rivendicazione (art. 106 sgg. LEF). 1. Può il giudice dichiarare che un'azione di rivendicazione è priva d'oggetto perchè ritiene nulla l'esecuzione nella quale la procedura di rivendicazione è stata aperta? (consid. 2). 2. La posizione processuale delle parti non ha nessun influsso sull'onere della prova (consid. 3 cp. 3). 3. Le pretese di terzi che sono opposte al pignoramento devono essere dichiarate con esattezza all'ufficio d'esecuzione. Salvo che sia fatto valere un diritto di pegno in luogo e vece di un diritto di proprietà dapprima invocato, il giudice deve pronunciarsi, nel processo di rivendicazione, soltanto sulle pretese per le quali, fondandosi su una siffatta dichiarazione, l'ufficio di esecuzione ha aperto la procedura di rivendicazione (consid. 5). 4. La procedura di rivendicazione non può, in una procedura in cui il debitore non è, secondo l'opponente, legalmente rappresentato, servire a sottrarre alla realizzazione di beni dei quali è pacifico che appartengono al debitore. Spetta alle autorità d'esecuzione statuire sulla questione della rappresentazione nella procedura d'esecuzione (nella fattispecie: questione a sapere se si debba ammettere in Svizzera il potere di rappresentazione dell'amministratore imposto a una società commerciale estera da uno Stato straniero) (consid. 6). Trasmissione della proprietà di cartevalori depositate in una banca (art. 714 CC). Condizioni. Mancata prova di una causa giuridica valida. Presunzione della proprietà sulla base del possesso (art. 930 CC)? (consid. 3).</w:t>
      </w:r>
    </w:p>
    <w:p>
      <w:pPr>
        <w:pStyle w:val="Heading2"/>
      </w:pPr>
      <w:r>
        <w:t>Erwägungen</w:t>
      </w:r>
    </w:p>
    <w:p>
      <w:r>
        <w:rPr>
          <w:b/>
        </w:rPr>
        <w:t>E. 1</w:t>
      </w:r>
    </w:p>
    <w:p>
      <w:r>
        <w:t>Den Antrag, auf die Berufungen der Kläger sei nicht einzutreten, begründet der Beklagte wie folgt: die Vorinstanz habe angenommen, die betriebene Schuldnerin sei eine Kommanditgesellschaft, die nach den unangefochtenen Grundsätzen des schweizerischen Kollisionsrechts dem niederländischen Recht unterstehe; bei einer niederländischen Kommanditgesellschaft könne nach der Auffassung der Vorinstanz jeder Gesellschafter Angriffe auf das Gesamthandvermögen der Gesellschaft durch Klage oder Widerspruch im eigenen Namen abwehren; ob diese Ansicht zutreffe, sei eine Frage des ausländischen Rechts, die das Bundesgericht nicht überprüfen könne, auch wenn die Vorinstanz anstelle des ihr nicht bekannten ausländischen Rechts auf Grund der Vermutung, dass dieses mit dem schweizerischen übereinstimme, schweizerisches Recht angewendet habe. Hieran ist soviel richtig, dass das Bundesgericht im Berufungsverfahren nicht nachprüfen kann, ob die Vorinstanz eine nach ausländischem Recht zu beurteilende Frage richtig entschieden habe. Auf die Berufungen wäre also nicht einzutreten, wenn die Berufungsschriften lediglich die Rüge enthielten, das angefochtene Urteil verletze niederländisches Recht oder schweizerische Rechtssätze, die als vermutlicher Inhalt des niederländischen Rechts angewendet wurden ( Art. 43 und 55 lit. c OG ; BGE 78 II 392 /93 und zahlreiche frühere Entscheide). So verhält es sich jedoch nicht, sondern die Kläger machen mehrere Bundesrechtsverletzungen geltend. Insbesondere behaupten sie, das angefochtene Urteil verstosse gegen die für das Widerspruchsverfahren im Sinne BGE 84 III 141 S. 151 von Art. 106 ff. SchKG massgebenden Grundsätze und gegen eidgenössische Kollisionsnormen. Diese Rügen können mit der Berufung an das Bundesgericht erhoben werden.</w:t>
      </w:r>
    </w:p>
    <w:p>
      <w:r>
        <w:rPr>
          <w:b/>
        </w:rPr>
        <w:t>E. 2</w:t>
      </w:r>
    </w:p>
    <w:p>
      <w:r>
        <w:t>Zum Antrag, die Prozesse seien als gegenstandslos abzuschreiben, bringt der Beklagte vor, die Betreibungen gegen die Firma "Rebholz'Bankierskantoor" seien nichtig, weil die Zahlungsbefehle nicht ihm, sondern den nach seiner Ansicht zu ihrer Vertretung nicht befugten Zwangsverwaltern zugestellt wurden; dieser Mangel brauche nicht durch Beschwerde geltend gemacht zu werden, sondern sei jederzeit zu beachten und müsse zur Folge haben, dass die Prozesse als gegenstandslos abgeschrieben werden. Als Berufungsantrag ist dieser Antrag gemäss Art. 55 lit. b OG , wonach neue Begehren ausgeschlossen sind, unzulässig, weil er im kantonalen Verfahren noch nicht gestellt worden war. Der an die Vorinstanz gerichtete Appellationsantrag lautete einzig auf Abweisung der Klage und zielte somit auf eine materielle Behandlung des Prozesses ab. Es kann sich daher nur fragen, ob die vorliegenden Prozesse wegen Nichtigkeit der Betreibungen von Amtes wegen abzuschreiben seien. Nach der Rechtsprechung des Bundesgerichtes können nichtige Verfügungen eines Betreibungsamtes von diesem selbst oder von den Aufsichtsbehörden jederzeit aufgehoben werden und haben andere Behörden, denen eine solche Aufhebungsbefugnis mangels sachlicher oder örtlicher Zuständigkeit nicht zukommt, eine als nichtig erkannte betreibungsamtliche Verfügung einfach unbeachtet zu lassen, wenn sie nicht etwa Veranlassung finden, eine Entscheidung der zuständigen Behörde zu provozieren und ihre eigene endgültige Stellungnahme nach dieser Entscheidung zu richten ( BGE 78 III 51 ). Daraus lässt sich jedoch nicht ableiten, dass der mit einer Widerspruchsklage befasste Richter den Prozess kurzerhand abschreiben dürfe und müsse, wenn ihm die Betreibung, die zu dieser Klage Anlass gegeben hat, mit einem Nichtigkeitsgrunde behaftet BGE 84 III 141 S. 152 zu sein scheint. Ein solches Vorgehen des Richters würde die Betreibungsbehörden nicht hindern, die Betreibung ihrerseits weiterhin als gültig zu betrachten. Der Kläger müsste damit rechnen, dass die Betreibungsbehörden die Abschreibung des Prozesses gleich wie z.B. das aus Gründen des kantonalen Prozessrechts erfolgte Nichteintreten auf eine Klage der Unterlassung oder Abweisung der Klage gleichstellen würden. Solange die Betreibung von den Betreibungsbehörden als gültig erachtet wird und der umstrittene Gegenstand demzufolge tatsächlich mit Beschlag belegt ist, kann der Richter also nicht befugt sein, die materielle Behandlung einer Widerspruchsklage abzulehnen und den Prozess abzuschreiben, weil er die Betreibung für nichtig hält. Es steht ihm in einem solchen Falle höchstens zu, seine Auffassung den zuständigen Betreibungsbehörden mitzuteilen und seine Entscheidung aufzuschieben, bis diese Behörden entweder das Vorliegen eines Nichtigkeitsgrundes verneint oder aber die Betreibung als nichtig aufgehoben haben. Nur in diesem letzten Falle kann der Widerspruchsprozess als gegenstandslos abgeschrieben werden (es sei denn, es handle sich um einen Prozess zwischen dem Schuldner und dem Drittansprecher, dessen Ausgang nicht bloss für das Betreibungsverfahren Bedeutung hat). Im vorliegenden Fall sind die Betreibungen nicht als ungültig aufgehoben worden. Im Gegenteil haben die dem Betreibungsamt übergeordneten Behörden wiederholt kundgetan, dass sie nicht der Meinung sind, die Zustellung der Betreibungsurkunden an die Zwangsverwalter der Schuldnerin habe die Ungültigkeit der Betreibungen zu Folge. Die kantonale Aufsichtsbehörde hat diese Zustellung in ihrem Entscheid vom 12. Februar 1955, der rechtskräftig geworden ist, als zu Recht erfolgt erklärt und ihren Widerruf durch das Betreibungsamt aufgehoben. Und die Schuldbetreibungs- und Konkurskammer des Bundesgerichtes hat sich nicht veranlasst gesehen, von Amtes wegen einzuschreiten, als die heutigen Kläger wegen der Klagefristsetzung BGE 84 III 141 S. 153 an sie rekurrierten; dabei war ihr bekannt, dass der Beklagte die Vertretung der Schuldnerin durch die Zwangsverwalter als mit der schweizerischen öffentlichen Ordnung unvereinbar betrachtete (S. 5 des Entscheides vom 4. Juni 1955). Übrigens hat auch die Vorinstanz die Betreibung nicht als nichtig erachtet. Unter diesen Umständen kommt eine Abschreibung der vorliegenden Prozesse nicht in Frage und besteht für den Richter auch keine Veranlassung, die Betreibungsbehörden zu begrüssen, die ja eben zur Frage der Gültigkeit der Betreibungen bereits in positivem Sinne Stellung genommen haben.</w:t>
      </w:r>
    </w:p>
    <w:p>
      <w:r>
        <w:rPr>
          <w:b/>
        </w:rPr>
        <w:t>E. 3</w:t>
      </w:r>
    </w:p>
    <w:p>
      <w:r>
        <w:t>In der Sache selbst hat die Vorinstanz dem Beklagten das Alleineigentum an den streitigen Vermögenswerten, das er auf Grund der Vorgänge vom August 1943 für sich in Anspruch nimmt und auf das er seinen Widerspruch gegen die Pfändung in erster Linie stützt, abgesprochen mit der Begründung, für den Übergang des Eigentums an den im Drittbesitz des Bankvereins befindlichen Titeln wäre nach dem als lex rei sitae massgebenden schweizerischen Recht eine vom Kausalverhältnis abhängige Einigung über die Eigentumsübertragung, verbunden mit einer Besitzanweisung, erforderlich gewesen. Beides sei nicht erstellt. Die Bezeichnung "Unterdepot" spreche dafür, dass die Vermögenswerte weiterhin zu dem - lediglich unterteilten - Depot der Kommanditgesellschaft gehören sollten. Auch der Umstand, dass der Beklagte über das Unterdepot allein verfügungsberechtigt sein sollte, lasse nicht mit genügender Überzeugungskraft auf eine Einigung über den Eigentumsübergang schliessen, zumal der Beklagte die alleinige Verfügungsmacht als "Inhaber", d.h. als Chef der Kommanditgesellschaft, also nicht in privater Eigenschaft, habe erhalten sollen. Dazu komme entscheidend, dass die Titel in den Büchern der Gesellschaft weiterhin als deren Eigentum aufgeführt worden seien. Hinsichtlich des Zinsguthabens fehle der Nachweis einer Abtretung. Gegen die Grundsätze, von denen die Vorinstanz hienach BGE 84 III 141 S. 154 bei Beurteilung der Frage des Eigentumsübergangs ausgegangen ist, wendet der Beklagte vor Bundesgericht mit Recht nichts ein. Man kann sich höchstens fragen, ob er bestreiten wolle, dass die Eigentumsübertragung ein gültiges Rechtsgrundgeschäft zur Voraussetzung habe, indem er geltend macht, angesichts der Tatsache, dass er immer Gesamthandeigentümer der in Frage stehenden Werte gewesen sei, habe eine Besitzanweisung an ihn genügt, um ihn zum Alleineigentümer zu machen; welche Motive unter den Gesellschaftern dabei vorherrschten, brauche nicht abgeklärt zu werden, weil eine Benachteiligung Dritter nicht in Frage gekommen sei. Die Auffassung der Vorinstanz, dass es für die Übertragung des Eigentums an beweglichen Sachen wie gemäss Art. 974 ZGB für die Übertragung von Grundeigentum eines gültigen Rechtsgrundes bedürfe, entspricht jedoch der ständigen Rechtsprechung des Bundesgerichtes ( BGE 55 II 306 , BGE 65 II 65 , BGE 67 II 161 , BGE 78 II 210 ), an der festzuhalten ist. Für die Übertragung einer im Gesamteigentum befindlichen Sache in das Alleineigentum eines der Gesamteigentümer ist von dieser Regel keine Ausnahme zu machen. Gemäss Art. 8 ZGB hat der Beklagte die Tatsachen zu beweisen, aus denen sich ergeben soll, dass er das von ihm beanspruchte Eigentum an den streitigen Titeln erworben habe. Der Umstand, dass gemäss Art. 109 SchKG die Gläubiger als Kläger auftreten mussten und dass demgemäss die Klagebegehren auf Feststellung des Nichteigentums des Beklagten gehen, hat entgegen der Auffassung des Beklagten auf die Beweislast im vorliegenden Prozess keinen Einfluss ( BGE 83 III 30 oben). Das Schreiben der Schuldnerin an den Bankverein vom 3. August 1943, in welchem der Beklagte das Hauptbeweismittel für seinen Eigentumserwerb erblickt, lässt weder für sich allein noch zusammen mit dem von Benischek mitunterzeichneten Schreiben vom 23. August 1943 erkennen, zu welchem Zweck das darin erwähnte Unterdepot errichtet werden sollte. Insbesondere geht daraus BGE 84 III 141 S. 155 nicht hervor, dass die Schuldnerin und der Beklagte dem letztern das Alleineigentum an den ins Unterdepot zu legenden Wertschriften verschaffen wollten und dass der Beklagte demgemäss die Verfügungsgewalt über diese Titel nicht für die Gesellschaft, sondern für sich persönlich ausüben sollte. Wie die Vorinstanz mit Recht ausgeführt hat, erlaubt die Formulierung des Schreibens vom 3. August 1943 eher den gegenteiligen Schluss. Auf jeden Fall aber geben die vorliegenden Schreiben keinen Aufschluss über den Rechtsgrund einer allfällig beabsichtigten Übereignung der Titel an den Beklagten persönlich. Ausserhalb der erwähnten Schreiben liegende Willenskundgebungen, die den Übergang des Eigentums von der Gesellschaft auf den Beklagten hätten bewirken können, sind nicht bewiesen, ja nicht einmal in genügend bestimmter Form behauptet worden. Die vom Beklagten unter Beweis gestellte Behauptung, die streitigen Werte seien ihm nach der Meinung aller Beteiligten zu Eigentum übertragen worden und Benischek habe dies später einem der Zwangsverwalter gegenüber telephonisch bestätigt, ist nichtssagend. Es fehlt jede nähere Angabe darüber, was zwischen der Gesellschaft und dem Beklagten vereinbart worden sein soll. Insbesondere hat der Beklagte im kantonalen Verfahren nie gesagt, worin der Rechtsgrund der Übertragung der streitigen Werte in sein Alleineigentum bestanden habe. Die Angabe in der Anschlussberufungsschrift, man sei übereingekommen, dem Beklagten gewisse Werte, die er in die Gesellschaft eingebracht hatte, wiederum als Privateigentum zur Verfügung zu stellen, ist neu und entbehrt überdies wie die im kantonalen Verfahren aufgestellten Behauptungen der nötigen Bestimmtheit, da auch sie die Frage unbeantwortet lässt, unter welchem Titel der Eigentumsübergang stattfinden sollte. Es bedeutet daher keine Verletzung bundesrechtlicher Beweisvorschriften, dass die Vorinstanzen den Beweisanträgen des Beklagten (Einvernahme von Nussbaumer, Generaldirektor des Bankvereins, und W. Benischek als Zeugen; Beizug BGE 84 III 141 S. 156 eines Berichtes des Bankvereins) nicht Folge gegeben haben. Im übrigen konnten die Vorinstanzen aus dem im Entscheid der Schuldbetreibungs- und Konkurskammer vom 4. Juni 1955 erwähnten Schreiben des Bankvereins an das Betreibungsamt vom 27. April 1955 sehr wohl schliessen, den Organen des Bankvereins fehle eine sichere Kenntnis der wirklichen Eigentumsverhältnisse. Eine solche vorweggenommene Beweiswürdigung verstösst nicht gegen Bundesrecht. Auf die Vermutung des Eigentums, die sich gemäss Art. 930 ZGB aus dem Besitz ergibt, kann sich der Beklagte nicht berufen, weil der unmittelbare Besitz durch den Bankverein ausgeübt wird und man nicht weiss, für wen dies geschieht. Zudem entfällt die Eigentumsvermutung, wenn der Besitz auf einem "zweideutigen" Gewaltverhältnis beruht ( BGE 84 II 261 Erw. 3 und dortige Hinweise). Dies wäre hier anzunehmen, und zwar vor allem deswegen, weil die streitigen Wertpapiere auch nach den Vorgängen vom August 1943 in den Büchern der Gesellschaft noch als zu deren Vermögen gehörig aufgeführt wurden. Das aus den Zinsen geäufnete Unterkonto teilt als Akzessorium das Schicksal der im Unterdepot liegenden Titel. Eine Abtretung dieses Guthabens an den Beklagten persönlich ist nicht nachgewiesen. Die Anschlussberufung, mit welcher der Beklagte die Feststellung verlangt, dass die streitigen Vermögenswerte ihm allein zustehen, ist daher abzuweisen.</w:t>
      </w:r>
    </w:p>
    <w:p>
      <w:r>
        <w:rPr>
          <w:b/>
        </w:rPr>
        <w:t>E. 4</w:t>
      </w:r>
    </w:p>
    <w:p>
      <w:r>
        <w:t>Für den Fall, dass der Übergang der streitigen Vermögenswerte in sein Alleineigentum verneint werden sollte, hat der Beklagte im vorliegenden Prozess den Eventualstandpunkt eingenommen, er könne sich der Pfändung dieser Werte als am Gesellschaftsvermögen gesamthänderisch berechtigter Gesellschafter widersetzen. Er vertritt jedoch nicht etwa die (zweifellos falsche) Ansicht, bei einer niederländischen Kommanditgesellschaft seien die Gesellschafter allgemein befugt, den Gesellschaftsgläubigern den Zugriff auf Vermögenswerte der Gesellschaft zu verwehren, BGE 84 III 141 S. 157 indem sie sich auf die Rechte berufen, die ihnen als Gesellschaftern am Gesellschaftsvermögen zustehen. Vielmehr macht er eine solche Befugnis der Gesellschafter nur für Fälle wie den vorliegenden mit Bezug auf das ausserhalb der Niederlande liegende Vermögen der Gesellschaft geltend. Dabei stützt er sich auf die Auffassung, dieses Vermögen falle nicht unter die in den Niederlanden angeblich erfolgte entschädigungslose Enteignung und die Verfügungsgewalt der vom niederländischen Staat eingesetzten Zwangsverwalter, sondern bilde ein Sondervermögen, das den bisherigen Gesellschaftern als Gesamteigentümern zustehe und über das er (der Beklagte) als geschäftsführender Gesellschafter - zumal nach dem Ausscheiden Benischeks - allein zu verfügen habe. Seine Stellungnahme läuft also darauf hinaus, dass er im eigenen Namen das Eigentum der durch ihn vertretenen Gesellschaft an den in der Schweiz liegenden Vermögenswerten der Gesellschaft geltend machen will, um deren Freigabe zu erreichen. Die Vorinstanz hat ihrerseits das von ihr angenommene Recht des Beklagten, sich der Pfändung der streitigen Vermögenswerte zu widersetzen, ebenfalls nicht bloss aus dem ihm (wenigstens nach schweizerischem Recht) als Gesellschafter zustehenden Gesamteigentumsanspruch abgeleitet. Massgebend war für sie vielmehr die Erwägung, dass der Beklagte nach wie vor als einzelzeichnungsberechtigter Geschäftsführer der Schuldnerin zu gelten habe, soweit die Vertretung der in der Schweiz liegenden Vermögenswerte in Frage stehe. Dies ist der Grund dafür, dass sie dem Beklagten das Recht zugestand, in den vorliegenden Betreibungen "das Eigentum der durch ihn vertretenen Gesellschaft bezw. sein Gesamteigentum geltend zu machen" und so die Entlassung der streitigen Vermögenswerte aus dem Pfändungsbeschlag zu erwirken (S. 17 des angefochtenen Urteils). Dabei liegt die Betonung unverkennbar auf dem "Eigentum der durch ihn vertretenen Gesellschaft." Mit dem Zusatz "bezw. sein Gesamteigentum" wollte die Vorinstanz offenbar nur zum Ausdruck bringen, dass der BGE 84 III 141 S. 158 Beklagte als Gesamteigentümer das Eigentum der Gesellschaft im eigenen Namen geltend machen könne, wie er es im vorliegenden Prozess getan hat. Dass die Vorinstanz nicht die Gesamthandberechtigung des Beklagten als solche, sondern die damit verbundene Befugnis zur Vertretung der Gesellschaft als die entscheidende Grundlage für das dem Beklagten zugebilligte Widerspruchsrecht betrachtete, wird dadurch bestätigt, dass sie auf S. 4/5 ihres Urteils ausführte, wenn die vom niederländischen Staat gegenüber der Rebholz-Bank ergriffenen Massnahmen in der Schweiz nicht anzuerkennen seien, sei in der Schweiz hinsichtlich der hier gelegenen Vermögenswerte immer noch der Beklagte, der als unbeschränkt haftender Gesellschafter zu 62,5%, mit seiner Ehefrau zusammen zu 93,3% am Gesellschaftskapital beteiligt gewesen sei, "als zur Vertretung befugter Gesamthandsberechtigter" zu betrachten; er könne in diesem Falle seine Gesamthandsberechtigung "und damit die Unzulässigkeit der Vertretung durch die Zwangsverwalter bezw. seine eigene Vertretungsbefugnis" im Widerspruchsprozess geltend machen. Die Vorinstanz hat also den Anspruch des Beklagten auf Freigabe der streitigen Vermögenswerte im Sinne seines Eventualstandpunktes gutgeheissen. Die Frage, ob sich die von ihr anerkannte Befugnis des Beklagten zur Vertretung der Gesellschaft mit Bezug auf das in der Schweiz liegende Vermögen aus dem schweizerischen oder "ungeachtet des öffentlich-rechtlichen Eingriffs" des niederländischen Staates aus dem niederländischen Privatrecht ergebe, hat sie offen gelassen (so dass der Beklagte zu Unrecht behauptet, sie habe das aus dieser Befugnis abgeleitete Recht, gegen die Pfändung der streitigen Vermögenswerte Widerspruch zu erheben, in Anwendung des niederländischen Rechts bejaht). Nach welchem Recht sich beurteile, wer heute über das Vermögen der Rebholz-Bank in der Schweiz zu verfügen habe, und wie diese Frage nach dem massgebenden Recht zu beurteilen sei, braucht auch vom Bundesgericht nicht geprüft zu werden, wenn sich ergibt, dass die BGE 84 III 141 S. 159 Rechte, die der Beklagte im vorliegenden Prozess angerufen hat, um die Freigabe der streitigen Vermögensstücke zu erwirken, aus Gründen des für die Betreibungen der Kläger massgebenden schweizerischen Vollstreckungsrechts in diesem Prozess nicht geltend gemacht werden können.</w:t>
      </w:r>
    </w:p>
    <w:p>
      <w:r>
        <w:rPr>
          <w:b/>
        </w:rPr>
        <w:t>E. 5</w:t>
      </w:r>
    </w:p>
    <w:p>
      <w:r>
        <w:t>Der Auffassung der Vorinstanz, dass es im Widerspruchsprozess "nicht um die Geltendmachung dinglicher Rechte, sondern um die Aufrechterhaltung des Pfändungsbeschlags" gehe, ist insofern beizupflichten, als in diesem Prozess die Feststellung der Rechte, die an gepfändeten Gegenständen geltend gemacht werden, nicht Selbstzweck ist, sondern getroffen werden muss, damit man weiss, ob die betreffenden Gegenstände der Pfändung entzogen sind oder vom Pfändungsbeschlag nur unter Vorbehalt bestimmter Drittansprüche (z.B. eines Pfandrechtes) oder aber vorbehaltlos erfasst werden. Dies ändert jedoch nichts daran, dass die Ansprüche, die der Pfändung entgegengehalten werden, gegenüber dem Betreibungsamt genau bezeichnet werden müssen und dass der Richter im Widerspruchsprozess nur diejenigen Ansprüche zu beurteilen hat, über welche das Betreibungsamt auf Grund dieser Anmeldung das Widerspruchsverfahren eingeleitet hat. Diesen selbstverständlichen Grundsatz hat die (kantonale) Rechtsprechung nur insoweit eingeschränkt, als dem Drittansprecher erlaubt wurde, im Prozess anstelle des zunächst beanspruchten Eigentums ein Pfandrecht geltend zu machen (ZR 1912 Nr. 49), wozu JAEGER bemerkte, hiegegen möge nichts einzuwenden sein, da es sich beim Pfand um etwas "Wenigeres" als das Eigentum handle (Schuldbetreibungs- und Konkurspraxis der Jahre 1911-1915 = I. Ergänzung zum Kommentar, N. 5 C zu Art. 107 SchKG , S. 43). Mit Sinn und Zweck der Art. 106-109 SchKG schlechterdings unvereinbar ist es dagegen, anstelle des für eine bestimmte Person beanspruchten Eigentums hinterher im Prozess dasjenige einer andern Person geltend zu machen. Dies muss ganz besonders dann ausgeschlossen sein, wenn die Klägerrolle gemäss Art. 109 SchKG dem Gläubiger zufällt. Ihm BGE 84 III 141 S. 160 darf nicht zugemutet werden, bei Erhebung der Klage damit rechnen zu müssen, dass ihm der Beklagte im Prozess einen andern als den beim Betreibungsamt angemeldeten und von ihm (dem Gläubiger) mit der Klage bestrittenen Anspruch entgegenhalten werde. Im vorliegenden Falle hat der Beklagte dem Betreibungsamt gegenüber unmissverständlich kundgetan, dass er das nach seiner Ansicht ihm persönlich zustehende Alleineigentum geltend mache. Anders lässt sich nicht verstehen, dass er dem Betreibungsamt am 24. Juni 1955 mitteilte, er allein sei als Prozesspartei aufzuführen; die Fristansetzung habe nur ihm gegenüber zu erfolgen. Im gleichen Sinne hat er sich zudem auch gegenüber dem Vertreter der Kläger in seinem Schreiben vom 27. Juni 1955 geäussert. Der in diesen Schreiben enthaltene Vorbehalt der Rechte, die der ursprünglich ebenfalls als Ansprecherin bezeichneten Frau Rebholz als Kommanditärin am Gesellschaftsvermögen zustehen, liess nicht darauf schliessen, dass der Beklagte im vorliegenden Widerspruchsverfahren auch noch andere Rechte als sein Alleineigentum an den streitigen Vermögenswerten geltend machen wollte. Indem er sich dann im Prozess für den Fall der Aberkennung seines Anspruchs auf das Alleineigentum auch noch darauf berief, dass er als geschäftsführender Gesellschafter über das in der Schweiz liegende Gesellschaftsvermögen allein zu verfügen habe, erhob er also einen im Verfahren vor dem Betreibungsamte nicht angemeldeten Anspruch, und zwar einen solchen, der in Wirklichkeit nicht sein Eigentum, sondern dasjenige der angeblich durch ihn vertretenen Gesellschaft zur Grundlage hatte. Dieses Vorgehen war nach dem Gesagten unzulässig. Dabei bliebe es auch, wenn die Kläger, wie die Vorinstanz annimmt, den Anspruch des Beklagten selber so verstanden hätten, wie er ihn vor Gericht im Sinne eines Eventualstandpunktes geltend gemacht hat. Es steht nach Betreibungsrecht (von der erwähnten Ausnahme für das Pfandrecht abgesehen) nicht im Belieben der Parteien, im Widerspruchsprozess mit Wirkung für das Betreibungsverfahren BGE 84 III 141 S. 161 über einen beim Betreibungsamt nicht angemeldeten Anspruch zu streiten. Im übrigen sind die von der Vorinstanz angezogenen Äusserungen der Kläger in der Replik doch wohl anders aufzufassen, als es die Vorinstanz getan hat. Die Kläger wollten damit offenbar nur sagen, der Beklagte glaube selber im Ernst nicht an das von ihm geltend gemachte Alleineigentum.</w:t>
      </w:r>
    </w:p>
    <w:p>
      <w:r>
        <w:rPr>
          <w:b/>
        </w:rPr>
        <w:t>E. 6</w:t>
      </w:r>
    </w:p>
    <w:p>
      <w:r>
        <w:t>Der Eventualanspruch des Beklagten hätte im übrigen selbst dann nicht geschützt werden dürfen, wenn der Beklagte ihn nicht erst im Prozess, sondern schon im Verfahren vor dem Betreibungsamt geltend gemacht hätte, weil dieser Anspruch entgegen der von der Vorinstanz und auch schon von der kantonalen Aufsichtsbehörde im Entscheid vom 12. Februar 1955 geäusserten Ansicht überhaupt nicht zum Gegenstand eines Widerspruchsverfahrens gemacht werden kann. Bei diesem Eventualanspruch handelt es sich nicht darum, das Eigentum eines Dritten geltend zu machen, sondern der Beklagte will damit Vermögenswerte, von denen er für den Fall der Abweisung seines Hauptanspruchs anerkennt, dass sie der Schuldnerin gehören, der Verwertung in einem Verfahren entziehen, in welchem nach seiner Ansicht die Betriebene nicht gesetzmässig vertreten ist. Dass dies letzten Endes der Sinn des vom Beklagten erhobenen Eventualanspruchs ist, hat auch die Vorinstanz eingesehen; denn auf S. 17 f. des angefochtenen Urteils, wo erörtert wird, ob der Beklagte "ein genügendes Interesse an der Abweisung der heutigen Klagen im Sinne der bisherigen Erwägungen" besitze, verweist die Vorinstanz einzig auf das Interesse des Beklagten daran, die Schuldnerin im Betreibungsverfahren zu vertreten, um einerseits durch Rechtsvorschlag den Forderungen selbst und anderseits durch Beschwerde allfälligen unrichtigenVerfügungen des Betreibungsamtes begegnen zu können. Die Frage der Vertretung im Betreibungsverfahren ist aber eine solche des Verfahrensrechts und daher nicht vom Richter, sondern von den Betreibungsbehörden zu entscheiden ( BGE 48 III 131 f. und 181, BGE 53 III 58 , BGE 79 III 104 ff., 84 BGE 84 III 141 S. 162 III 74), und zwar gilt dies, wie ausBGE 53 III 58hervorgeht, auch insoweit, als der Streit darum geht, ob die Vertretungsbefugnis eines von einem ausländischen Staat eingesetzten Liquidators in der Schweiz anerkannt werden könne. Um ihre Ansicht zu stützen, dass der Beklagte seine Vertretungsbefugnis im Widerspruchsverfahren geltend machen könne, beruft sich die Vorinstanz zu Unrecht auf eine Ähnlichkeit zwischen dem vorliegenden Fall und demjenigen der Sondergutsbetreibung gegen die Ehefrau, wo der Ehemann den Standpunkt, dass die gepfändeten Gegenstände zu dem seiner Verwaltung und Nutzung unterliegenden eingebrachten Gut der Frau gehören, im Widerspruchsverfahren verfechten kann. Gegenstand der Auseinandersetzung ist in diesem Falle nicht die ja unbestreitbare Befugnis des Ehemannes, das eingebrachte Gut der Frau zu verwalten und zu nutzen und die Frau im Streit darüber zu vertreten, sondern die Zugehörigkeit eines Gegenstandes zur einen oder andern Vermögensmasse (eingebrachtes Gut oder Sondergut). Hier dagegen ist umgekehrt die Befugnis des Beklagten zur Vertretung der Schuldnerin umstritten, während anderseits bei Bejahung dieser Befugnis ohne weiteres klar wäre, dass die gepfändeten Werte zu dem Teil des Vermögens der betriebenen Gesellschaft gehören, den der Beklagte zu verwalten berechtigt wäre und mit Bezug auf den er die Schuldnerin zu vertreten hätte. Das Sondervermögen, von dem der Beklagte und die Vorinstanz sprechen, steht und fällt mit der Befugnis des Beklagten, die Schuldnerin wenigstens noch mit Bezug auf einen Teil ihres Vermögens zu vertreten. Die Zugehörigkeit eines Gegenstandes zu diesem Sondervermögen würde sich gegebenenfalls einzig darnach bestimmen, wieweit die Vertretungsbefugnis des Beklagten reicht, wogegen die Abgrenzung zwischen eingebrachtem Gut und Sondergut der Ehefrau nach ganz anderen Kriterien erfolgt. Der vorliegende Fall hat daher mit demjenigen der Sondergutsbetreibung nichts gemein. Viel eher lässt er sich unter BGE 84 III 141 S. 163 dem Gesichtspunkte des Verfahrensrechts mit dem Falle vergleichen, dass in einer gegen die Eltern als gesetzliche Vertreter gerichteten Betreibung der Arbeitserwerb eines Kindes gepfändet wird, das mit Zustimmung der Eltern ausserhalb der häuslichen Gemeinschaft lebt und daher gemäss Art. 295 Abs. 2 ZGB über seinen Arbeitserwerb frei verfügen kann. Letzteres bedeutet, dass die Eltern das Kind mit Bezug auf diesen Erwerb nicht vertreten können ( BGE 79 III 107 ). Das Kind, das sich unter Berufung auf sein Verfügungsrecht der Pfändung seines Arbeitserwerbs in einer gegen die Eltern als seine gesetzlichen Vertreter eingeleiteten Betreibung widersetzt, sucht also wie der Beklagte, der sich die Pfändung gewisser Aktiven der Gesellschaft in einer gegen die Zwangsverwalter als Vertreter der Gesellschaft angehobenen Betreibung nicht gefallen lassen will, den Zugriff der Gläubiger auf bestimmte Vermögenswerte abzuwehren, indem es die Vertretungsbefugnis der Personen bestreitet, denen der Zahlungsbefehl zugestellt wurde. Der Rechtsbehelf, der ihm zu diesem Zwecke zu Gebote steht, ist aber gemäss dem eben erwähnten Entscheide ( BGE 79 III 104 ff.) nicht etwa die Anmeldung eines Drittanspruchs im Sinne von Art. 106 SchKG , sondern die Beschwerde. Die Vorinstanz hätte daher aus betreibungsrechtlichen Gründen auf den Eventualstandpunkt des Beklagten nicht eintreten sollen. Daran ändert der vom Beklagten in der Berufungsantwort angerufene Umstand nichts, dass die Aufsichtsbehörde in den Motiven ihres Entscheides vom 12. Februar 1955 die unzutreffende Meinung geäussert hat, der Beklagte könne den in Wirklichkeit gegen die Vertretungsbefugnis der Zwangsverwalter gerichteten Einwand, dass die Massnahmen des niederländischen Staates in der Schweiz nicht anzuerkennen seien, nicht im Beschwerdeverfahren, sondern im Widerspruchsverfahren erheben. Der Beklagte, mit dessen Standpunkt das Dispositiv des Entscheides der Aufsichtsbehörde unvereinbar war, hatte die Möglichkeit, diesen Entscheid an das Bundesgericht weiterzuziehen, BGE 84 III 141 S. 164 während die Kläger, deren Beschwerdebegehren von der Aufsichtsbehörde geschützt wurde, die Erwägungen dieser Behörde nicht anfechten konnten. Da der Beklagte von seinem Rekursrecht keinen Gebrauch gemacht hat, hat er es sich selber zuzuschreiben, wenn er nun die Frage, ob die vorliegenden Betreibungen mangels Vertretungsbefugnis der Zwangsverwalter der Schuldnerin ungültig seien, dem Bundesgericht nicht mehr zur Entscheidung vorlegen kann. Die Einwendungen, die der Beklagte im kantonalen Verfahren der Pfändung sonst noch entgegengehalten hat (vgl. oben G), können so wenig wie der Einwand, dass die Schuldnerin im Betreibungsverfahren nicht gehörig vertreten sei, auf dem Wege des Widerspruchsverfahrens erhoben werden. Es handelt sich dabei um Einwendungen gegen die Forderungen oder das Recht, diese auf dem Betreibungswege geltend zu machen. Der Beklagte hätte sie also nur dann erheben können, wenn er von den Betreibungsbehörden als Vertreter der Schuldnerin anerkannt worden wäre, und zwar hätte er sie in diesem Falle durch Rechtsvorschlag geltend machen müssen. Aus diesen Gründen ist das Urteil des Zivilgerichtes wiederherzustellen.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