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122</w:t>
      </w:r>
    </w:p>
    <w:p>
      <w:r>
        <w:t>Bundesgericht (BGE), 1958-01-01, DE</w:t>
      </w:r>
    </w:p>
    <w:p>
      <w:r>
        <w:rPr>
          <w:b/>
        </w:rPr>
        <w:t xml:space="preserve">Quelle: </w:t>
      </w:r>
      <w:r>
        <w:t>https://mcp.opencaselaw.ch/entscheid/bge_BGE_84_III_122</w:t>
      </w:r>
    </w:p>
    <w:p>
      <w:r>
        <w:t>FR: ATF 84 III 122</w:t>
      </w:r>
    </w:p>
    <w:p>
      <w:r>
        <w:t>IT: DTF 84 III 122</w:t>
      </w:r>
    </w:p>
    <w:p>
      <w:pPr>
        <w:pStyle w:val="Heading2"/>
      </w:pPr>
      <w:r>
        <w:t>Regeste</w:t>
      </w:r>
    </w:p>
    <w:p>
      <w:r>
        <w:t>Regeste Nachlassvertrag einer privaten Eisenbahnunternehmung. 1. Annahme des Nachlassvertrags (Art. 65 VZEG). Beschlussfassung über die Umwandlung von Prioritäts- in Stammaktien (Art. 51 Abs. 4 VZEG, Art. 654/655 OR). 2. Verweigerung der Bestätigung des Nachlassvertrags wegen unredlicher oder grobfahrlässiger (sehr leichtfertiger) Handlungen zum Nachteil der Gläubiger? (Art. 68 Ziff. 3 VZEG, Art. 306 Abs. 1 SchKG). 3. Klagefristansetzung an die Gläubiger bestrittener Forderungen? (Art. 69 VZEG). Welche Bedeutung kommt den Entscheidungen, die der Masseverwalter im Zwangsliquidationsverfahren gemäss Art. 26 VZEG über die eingegebenen Forderungen erlassen hat, in einem gemäss Art. 76 VZEG während der Zwangsliquidation eingeleiteten Nachlassverfahren zu? 4. Wieweit ist die Vorschrift des Art. 47 VZEG über die Behandlung nicht bezogener Abfindungsbeträge für Obligationäre im Nachlassverfahren entsprechend anzuwenden? (Änderung der Rechtsprechung).</w:t>
      </w:r>
    </w:p>
    <w:p>
      <w:r>
        <w:t>Regeste Concordat d'une entreprise de chemin de fer privée. 1. Acceptation du concordat (art. 65 LF concernant la constitution de gages sur les entreprises de chemins de fer et de navigation et la liquidation forcée de ces entreprises, du 25 septembre 1917). Décision sur la conversion d'actions prioritaires en actions ordinaires (art. 51 al. 4 LF du 25 septembre 1917, art. 654/655 CO). 2. Refus d'homologuer le concordat en raison d'actes déloyaux ou de négligence grave (actes faits avec une grande légèreté) commis au détriment des créanciers? (art. 68 ch. 3 LF du 25 septembre 1917, art. 306 al. 1 LP). 3. Fixation d'un délai aux créanciers dont les réclamations sont contestées pour intenter action? (art. 69 LF du 25 septembre 1917). Quelle importance ont, dans une procédure concordataire introduite durant la liquidation forcée selon l'art. 76 LF du 25 septembre 1917, les décisions que le liquidateur a prises au sujet des créances produites, en vertu de l'art. 26 LF du 25 septembre 1917, dans la procédure de liquidation forcée? 4. Dans quelle mesure l'art. 47 LF du 25 septembre 1917, relatifau sort des montants non perçus revenant aux porteurs de titres d'un emprunt, est-il applicable par analogie aux obligataires dans une procédure concordataire? (changement de jurisprudence).</w:t>
      </w:r>
    </w:p>
    <w:p>
      <w:r>
        <w:t>Regesto Concordato di un'impresa ferroviaria privata. 1. Accettazione del concordato (art. 65 LF concernente la costituzione di pegni sulle imprese di strade ferrate e di navigazione e la liquidazione forzata di queste imprese, del 25 settembre 1917). Decisione sulla conversione di azioni privilegiate in azioni ordinarie (art. 51 cp. 4 LF 25 settembre 1917, art. 654/655 CO). 2. Rifiuto di omologare il concordato a motivo di azioni disoneste o gravemente colpose (azioni compiute con gran leggerezza) commesse in pregiudizio dei creditori? (art. 68 num. 3 LF 25 settembre 1917, art. 306 cp. 1 LEF). 3. Assegnazione di un termine ai creditori, le cui pretese sono contestate, per farle valere in giudizio? (art. 69 LF 25 settembre 1917). Quale importanza hanno, in una procedura concordataria promossa durante la liquidazione forzata giusta l'art. 76 LF 25 settembre 1917, le decisioni prese dall'amministratore riguardo ai crediti insinuati in virtù dell'art. 26 LF 25 settembre 1917, nella procedura di liquidazione forzata? 4. In quale misura l'art. 47 LF 25 settembre 1917, relativo alla sorte degli importi non riscossi spettanti ai portatori di titoli di un prestito, è applicabile per analogia agli obbligazionisti in una procedura concordataria? (cambiamento di giurisprudenza).</w:t>
      </w:r>
    </w:p>
    <w:p>
      <w:pPr>
        <w:pStyle w:val="Heading2"/>
      </w:pPr>
      <w:r>
        <w:t>Erwägungen</w:t>
      </w:r>
    </w:p>
    <w:p>
      <w:r>
        <w:rPr>
          <w:b/>
        </w:rPr>
        <w:t>E. 1</w:t>
      </w:r>
    </w:p>
    <w:p>
      <w:r>
        <w:t>In den Gruppen der Obligationäre, der Kurrentgläubiger und der Prioritätsaktionäre, die der Masseverwalter in Anwendung von Art. 60 Abs. 1, 63 Abs. 1 und 51 Abs. 4 VZEG gebildet und zu besondern Versammlungen einberufen hat, stimmte die Mehrheit (ja zum Teil die Gesamtheit) der ihr Stimmrecht ausübenden Gläubiger (bezw. Prioritätsaktionäre) dem Nachlassvertrag zu und vertraten die Zustimmenden mehr als die Hälfte des gesamten Forderungsbetrags der Gruppe (bezw. des Prioritätskapitals). Alle diese Gruppen sind also gemäss Art. 65 Abs. 1 VZEG als zustimmend zu betrachten. Eine ausserordentliche Generalversammlung der Bahngesellschaft hatte schon vorher u.a. die Herabsetzung des Prioritätskapitals von Fr. 480'000.-- auf Fr. 60'000.-- und eine Neufassung von Art. 3 der Statuten beschlossen, welche die Umwandlung des herabgesetzten Prioritätskapitals in Stammkapital zur Voraussetzung hat (vgl. oben D). Dabei hatte es aber nicht die Meinung, dass in der Generalversammlung auch schon über diese Umwandlung Beschluss gefasst werden solle. Indem die Generalversammlung ihre Beschlüsse unter der Bedingung fasste, dass der Nachlassvertrag zustande komme, der diese Umwandlung in Ziff. 1 vorsieht, überliess sie vielmehr die Beschlussfassung über diesen Punkt der gemäss Art. 51 Abs. 4 in Verbindung mit Art. 63 VZEG im Nachlassverfahren zu bildenden Gruppe der Prioritätsaktionäre, die dann auch der in Frage stehenden Massnahme mit der von Art. 65 Abs. 1 VZEG geforderten Kopf- und Summenmehrheit zugestimmt hat. Man kann sich fragen, ob es für die Umwandlung der Prioritätsaktien in Stammaktien noch nötig gewesen BGE 84 III 122 S. 130 wäre, die Prioritätsaktionäre im Nachlassverfahren gemäss Art. 51 Abs. 4 VZEG wie Gläubiger zu behandeln, wenn die Generalversammlung der Bahngesellschaft diese Umwandlung ihrerseits bereits beschlossen gehabt hätte, was unter Einhaltung der Vorschriften von Art. 654 und 655 in Verbindung mit Art. 649 des revidierten OR vom 18. Dezember 1936 bezw. der in diesen Vorschriften vorbehaltenen statutarischen Bestimmungen möglich gewesen wäre. Art. 51 Abs. 4 VZEG ist im Jahre 1917, also in einem Zeitpunkt erlassen worden, da das OR die Möglichkeit, Vorrechte der Prioritätsaktionäre durch einen mit Mehrheit dieser Aktionäre (und sämtlicher Aktionäre) gefassten Beschluss zu beseitigen, noch nicht vorsah und der grundlegende Entscheid, der dieses Vorgehen als zulässig erklärte ( BGE 51 II 427 E. 4, Entscheid vom 5. Oktober 1925) noch nicht ergangen war. Mit dieser Vorschrift wollte das VZEG dafür sorgen, dass bei Eisenbahnsanierungen die Umwandlung von Prioritätsaktien in Stammaktien (oder ein sonstiger für die Sanierung nötiger Eingriff in die Vorrechte der Prioritätsaktionäre) unabhängig davon, ob das OR oder die Statuten dies zulassen, durch einen Mehrheitsbeschluss erfolgen könne (vgl. BGE 47 III 114 /115, BGE 49 III 227 ). Im Hinblick auf diesen Zweck der Vorschrift von Art. 51 Abs. 4 VZEG lässt sich die Ansicht vertreten, seitdem durch die Praxis und dann auch durch ausdrückliche Gesetzesbestimmungen die Beseitigung von Vorrechten der Prioritätsaktionäre durch Beschlussfassung in der Generalversammlung ermöglicht worden ist, erübrige sich die Einberufung einer Gruppenversammlung der Prioritätsaktionäre gemäss VZEG, wenn die Generalversammlung den in Frage stehenden Eingriff in die Vorrechte der Prioritätsaktionäre bereits gültig beschlossen hat. Auch wenn man dies annimmt, kann jedoch das im vorliegenden Falle gewählte Verfahren nicht beanstandet werden. Die Beteiligten durften sich an den klaren Wortlaut der sondergesetzlichen Vorschrift von Art. 51 Abs. 4 VZEG halten, die durch das revidierte BGE 84 III 122 S. 131 OR von 1936 nicht etwa als aufgehoben bezeichnet worden ist. Der gemäss VZEG zustande gekommene Beschluss der Prioritätsaktionäre über die Umwandlung der Prioritäts- in Stammaktien ist also zweifellos als gültig zu betrachten. Die SBB wurden gemäss Art. 62 VZEG mit Recht nicht in die Verhandlungen über den Nachlassvertrag einbezogen, weil ihre Forderung gemäss Art. 52 Ziff. 6 VZEG unverkürzt zu bezahlen ist. Demnach steht fest, dass der Nachlassvertrag im Sinne von Art. 65 Abs. 6 VZEG als angenommen zu gelten hat.</w:t>
      </w:r>
    </w:p>
    <w:p>
      <w:r>
        <w:rPr>
          <w:b/>
        </w:rPr>
        <w:t>E. 2</w:t>
      </w:r>
    </w:p>
    <w:p>
      <w:r>
        <w:t>... (Die Bestimmungen des Nachlassvertrags sind im Sinne von Art. 68 Ziff. 2 VZEG den Interessen der Gläubiger angemessen und wahren zwischen den einzelnen Gläubigergruppen ein Verhältnis, das der Billigkeit und dem bisherigen Rang der Forderungen genügend Rechnung trägt.)</w:t>
      </w:r>
    </w:p>
    <w:p>
      <w:r>
        <w:rPr>
          <w:b/>
        </w:rPr>
        <w:t>E. 3</w:t>
      </w:r>
    </w:p>
    <w:p>
      <w:r>
        <w:t>Die Bahnunternehmung hat zu einer Zeit, da bereits bestimmt mit der baldigen Anordnung der Zwangsliquidation zu rechnen war, noch grössere Lieferungen auf Kredit bestellt und entgegengenommen, was zur Folge hatte, dass bei Eröffnung der Liquidation unbezahlte Rechnungen für solche Lieferungen von rund Fr. 35'000.-- vorhanden waren (vgl. z.B. den Fall Tenconi, BGE 83 III 121 ). Diese Forderungen mussten in das Zwangsliquidations- und hernach in das Nachlassverfahren einbezogen werden, voraus den betreffenden Gläubigern ein Verlust von 70% ihres Guthabens entsteht. Dem damaligen Betriebsdirektor, der die fraglichen Lieferungen bestellte und entgegennahm, ist jedoch zuzubilligen, dass er subjektiv gutgläubig handelte. Nicht nur er, sondern auch die übrigen Organe der Bahn gaben sich keine Rechenschaft davon, dass die Eröffnung der Zwangsliquidation der Konkurseröffnung im Sinne der SchKG gleichkommt und wie diese bewirkt, dass die Schuldnerin nicht mehr über ihr Vermögen verfügen und insbesondere auch die BGE 84 III 122 S. 132 vorhandenen flüssigen Mittel nicht mehr zur Bezahlung vorher entstandener Verbindlichkeiten verwenden kann. Dass die Bahnorgane die Bedeutung des (seit langem in keinem Falle mehr zur Durchführung gelangten) Zwangsliquidationsverfahrens vor seiner Eröffnung nicht richtig beurteilten, kann ihnen nicht als schweres Verschulden angerechnet werden. Der Unternehmung sind daher "unredliche oder grobfahrlässige Handlungen oder Unterlassungen zum Nachteil der Gläubiger" im Sinne von Art. 68 Ziff. 3 VZEG nicht vorzuwerfen. Seit dem Erlass des VZEG von 1917 ist übrigens Art. 306 SchKG , der praktisch gleich wie Art. 68 Ziff. 3 VZEG bestimmte, der Nachlassvertrag werde nur bestätigt, wenn der Schuldner nicht zum Nachteil seiner Gläubiger unredliche oder sehr leichtfertige Handlungen begangen habe, in dem Sinne abgeändert worden, dass die Nachlassbehörde die Bestätigung verweigern kann, wenn der Schuldner zum Nachteil seiner Gläubiger solche Handlungen begangen hat ( Art. 306 Abs. 1 SchKG in der Fassung gemäss Bundesgesetz vom 28. September 1949). Mit dieser Revision wollte man namentlich erreichen, dass die Fehler von Organen juristischer Personen die Bestätigung eines im Interesse der Aktionäre, der Gläubiger und unter Umständen auch der Öffentlichkeit liegenden Nachlasssvertrags nicht ausschliessen. Die Bestätigung der Nachlassverträge von Eisenbahnunternehmungen (deren Inhaber fast ausnahmslos juristische Personen sind) an strengere Voraussetzungen zu knüpfen, als sie heute für die Nachlassverträge anderer Schuldner gelten, lässt sich nicht rechtfertigen. Um so weniger lässt sich aus dem Verhalten des frühern Betriebsdirektors der Stansstad-Engelberg-Bahn ein Grund für die Verwerfung des vorliegenden Nachlassvertrags herleiten.</w:t>
      </w:r>
    </w:p>
    <w:p>
      <w:r>
        <w:rPr>
          <w:b/>
        </w:rPr>
        <w:t>E. 4</w:t>
      </w:r>
    </w:p>
    <w:p>
      <w:r>
        <w:t>... (Für die im Nachlassvertrag übernommenen Leistungen ist im Sinne von Art. 68 Ziff. 1 VZEG genügende Sicherheit bestellt.) Nach alledem ist der Nachlassvertrag zu bestätigen, BGE 84 III 122 S. 133 was gemäss Art. 76 Abs. 5 VZEG zur Aufhebung des Zwangsliquidationsverfahrens führt.</w:t>
      </w:r>
    </w:p>
    <w:p>
      <w:r>
        <w:rPr>
          <w:b/>
        </w:rPr>
        <w:t>E. 5</w:t>
      </w:r>
    </w:p>
    <w:p>
      <w:r>
        <w:t>Massnahmen im Sinne von Art. 69 VZEG (Klagefristansetzung an die Gläubiger bestrittener Forderungen usw.) erübrigen sich, weil keine bestrittenen Forderungen mehr vorhanden sind. Der Masseverwalter hatte im Zwangsliquidationsverfahren die auf den Schuldenruf hin eingegebenen Forderungen gemäss Art. 26 VZEG zu prüfen und "über ihre Begründetheit und den Betrag derselben" zu entscheiden. Diese - mit Motiven versehenen - Entscheidungen sind am 23. Mai 1957 ergangen und den "Ansprechern" schriftlich mitgeteilt worden. Ein Entscheid des Masseverwalters über die Begründetheit des Anspruchs unterblieb - mit Recht - nur bezüglich der Forderung Eugen Meiers aus einem Eisenbahnunfall, über die bei Eröffnung der Zwangsliquidation bereits ein Prozess schwebte. Dieser Prozess wurde nach dem Rückzug des Rekurses, mit dem Meier die Anerkennung seiner Forderung im Verfahren gemäss Art. 26 VZEG erreichen wollte, fortgesetzt und führte dazu, dass die Forderung Meiers letztinstanzlich vom Bundesgericht abgewiesen wurde (Urteil der II. Zivilabteilung vom 8. Mai 1958, BGE 84 II 202 ). Die übrigen "Ansprecher" hatten, soweit ihre Forderungen abgewiesen wurden, gemäss Art. 26 VZEG die Möglichkeit, gegen den Entscheid des Masseverwalters binnen 30 Tagen seit der in dieser Bestimmung vorgeschriebenen öffentlichen Bekanntmachung an das Bundesgericht zu rekurrieren. Einen solchen Rekurs reichte Norbert Zumbühl ein, zog ihn aber in der Folge zurück. Die andern mit ihren Ansprüchen ganz oder teilweise abgewiesenen Gläubiger liessen die Rekursfrist unbenützt verstreichen. Demzufolge sind alle abweisenden Entscheidungen des Masseverwalters in Rechtskraft erwachsen. Sie bleiben für die abgewiesenen Gläubiger, deren Forderungen auch von der Schuldnerin selber bestritten worden sind, im hernach eingeleiteten Nachlassverfahren massgebend. Wenn in BGE 49 III 197 ff. BGE 84 III 122 S. 134 E. 4, 5 entscheiden wurde, dass die rechtskräftigen Kollokationsverfügungen der Konkursverwaltung für einen während des Konkursverfahrens zustande gekommenen Nachlassvertrag (von dem hier nicht gegebenen Falle des Liquidationsvergleichs abgesehen) grundsätzlich keine Bedeutung haben, so kann dies für das Verhältnis zwischen dem Zwangsliquidationsverfahren im Sinne des VZEG und einem während dieses Verfahrens abgeschlossenen Nachlassvertrag (Prozentvergleich) trotz der weitgehenden Analogie, die sonst zwischen Zwangsliquidations- und Konkursverfahren besteht, nicht entsprechend gelten. Während im gewöhnlichen Konkursverfahren die Entscheidungen der Konkursverwaltung über die Anerkennung der Forderungen ( Art. 245 SchKG ) nicht weiterziehbar sind, sondern nur durch gerichtliche Klage gemäss Art. 250 SchKG als Bestandteile des Kollokationsplans angefochten werden können, unterliegen nämlich im Zwangsliquidationsverfahren die vom Masseverwalter gemäss Art. 26 VZEG gefällten Entscheidungen über die Begründetheit und die Höhe der eingegebenen Forderungen unmittelbar und ohne Beschränkung dem Rekurs an das Bundesgericht, das im Falle solcher Weiterziehung auf Grund freier Prüfung endgültig entscheidet. Angesichts dieser ganz besondern Ausgestaltung des Verfahrens zur Feststellung der Begründetheit und der Höhe der angemeldeten Forderungen sowie der Vorschrift von Art. 76 Abs. 2 VZEG , wonach das Nachlassverfahren nur durchgeführt wird, soweit dies nach dem vorangegangenen Liquidationsverfahren noch erforderlich ist, rechtfertigt es sich, die gemäss Art. 26 VZEG ergangenen und mangels Rekurses rechtskräftig gewordenen Entscheidungen des Masseverwalters gegebenenfalls auch in einem anschliessenden Nachlassverfahren zu beachten, d.h. sie im Verhältnis zwischen den Gläubigern der in Frage stehenden Forderungen und der Nachlassschuldnerin als massgebend zu betrachten, sofern sie wenigstens wie hier zutreffend mit der eigenen Stellungnahme der Schuldnerin BGE 84 III 122 S. 135 zu diesen Forderungen übereinstimmen. Wie es sich verhalte, wenn der Masseverwalter von der Schuldnerin selber anerkannte Forderungen abgewiesen hat oder umgekehrt, braucht hier nicht untersucht zu werden, da kein solcher Fall vorliegt. Den Gläubigern, deren Forderungen durch rechtskräftige Entscheidungen des Masseverwalters ganz oder teilweise abgewiesen wurden, ist daher nicht gemäss Art. 69 VZEG Gelegenheit zu geben, ihre Forderungen nun noch in einem selbständigen gerichtlichen Verfahren geltend zu machen. (Zum Teil wären übrigens die durch rechtskräftige Verfügung des Masseverwalters abgewiesenen Forderungen und Ansprüche im Nachlassverfahren auch deswegen nicht zu berücksichtigen, weil sie nur im Falle eines Abbruchs der Bahn aktuell geworden wären.)</w:t>
      </w:r>
    </w:p>
    <w:p>
      <w:r>
        <w:rPr>
          <w:b/>
        </w:rPr>
        <w:t>E. 6</w:t>
      </w:r>
    </w:p>
    <w:p>
      <w:r>
        <w:t>Der Masseverwalter hat die Annullierung der Obligationen und die Umwandlung der Prioritätsaktien zu Fr. 400.-- in Stammaktien zu Fr. 50.-, die mit der Bestätigung des Nachlassvertrags verbunden sind, zugleich mit dem Bestätigungsentscheid öffentlich bekanntzumachen (vgl. BGE 44 III 232 ). Die Abfindungsbeträge für Obligationen, die innert der vom Masseverwalter anzusetzenden Frist nicht bezogen werden, sind in analoger Anwendung von Art. 47 VZEG für Rechnung des Titelinhabers zinstragend zu deponieren. Entgegen BGE 44 III 232 /233 und Art. 51 der "Instruktion der Schuldbetreibungs- und Konkurskammer des Schweiz. Bundesgerichts für den Sachwalter in Eisenbahn-Nachlassvertrags-Angelegenheiten" vom 9. Februar 1920 (Nachtrag zur Sammlung der eidg. Erlasse über Schuldbetreibung und Konkurs, Zürich, Verlag Orell Füssli, 1921, S. 165 ff.), die nicht etwa eine Verordnung, sondern nur eine Zusammenfassung der in der bundesgerichtlichen Praxis entwickelten Grundsätze darstellt, rechtfertigt es sich dagegen nicht, die für das Zwangsliquidationsverfahren aufgestellte Vorschrift von Art. 47 VZEG im Nachlassverfahren auch insoweit entsprechend anzuwenden, als sie bestimmt, dass BGE 84 III 122 S. 136 der hinterlegte Betrag nach zehn Jahren, wenn er innert dieser Frist nicht erhoben wurde, der Krankenunterstützungskasse des betreffenden Unternehmens zufalle. Diese Bestimmung erklärt sich daraus, dass im Falle der Zwangsliquidation die Anleihensschuldnerin, die praktisch immer eine Aktiengesellschaft ist, mit dem Abschluss des Liquidationsverfahrens verschwindet, und dass eine nachträgliche Verteilung der während der Verjährungsfrist von zehn Jahren nicht erhobenen Betreffnisse unter die übrigen Gläubiger unüberwindlichen Schwierigkeiten begegnen würde. Im Gegensatz hiezu bleibt bei Abschluss eines Nachlassvertrags, der für die Gläubiger die Abfindung durch eine Kapitalzahlung vorsieht, das schuldnerische Unternehmen bestehen. Es führt den Betrieb weiter, und man erwartet von ihm, dass es weiterhin in angemessener Weise zur Finanzierung der Fürsorgeeinrichtungen für sein Personal beitrage. Daher dürfen ihm Mittel, auf die es von Gesetzes wegen Anspruch hat, nicht entzogen werden. Hiezu gehören die von ihm für die Abfindung der Obligationäre bereitgestellten und von diesen während der zehnjährigen Verjährungsfrist von Art. 127 OR nicht bezogenen Geldbeträge. Zugunsten von Obligationären hinterlegte Abfindungsbeträge, die bis zum 27. November 1968 nicht bezogen werden, sind also ohne weiteres der Schuldnerin zur Verfügung zu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