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117</w:t>
      </w:r>
    </w:p>
    <w:p>
      <w:r>
        <w:t>Bundesgericht (BGE), 1958-01-01, DE</w:t>
      </w:r>
    </w:p>
    <w:p>
      <w:r>
        <w:rPr>
          <w:b/>
        </w:rPr>
        <w:t xml:space="preserve">Quelle: </w:t>
      </w:r>
      <w:r>
        <w:t>https://mcp.opencaselaw.ch/entscheid/bge_BGE_84_III_117</w:t>
      </w:r>
    </w:p>
    <w:p>
      <w:r>
        <w:t>FR: ATF 84 III 117</w:t>
      </w:r>
    </w:p>
    <w:p>
      <w:r>
        <w:t>IT: DTF 84 III 117</w:t>
      </w:r>
    </w:p>
    <w:p>
      <w:pPr>
        <w:pStyle w:val="Heading2"/>
      </w:pPr>
      <w:r>
        <w:t>Regeste</w:t>
      </w:r>
    </w:p>
    <w:p>
      <w:r>
        <w:t>Regeste Nachlassstundung (Art. 293 ff. SchKG). Die Wirkungen der Stundung hören auf, wenn nicht binnen ihrer Dauer mit allfälliger Verlängerung (Art. 295 SchKG) die Akten gemäss Art. 304 SchKG der Nachlassbehörde unterbreitet werden. Geschieht dies aber rechtzeitig, so wirkt die Stundung ohne weitere zeitliche Begrenzung fort bis zum Abschluss des Bestätigungsverfahrens, d.h. bis zur Bekanntmachung des rechtskräftigen Entscheides der Nachlassbehörde (Art. 308 SchKG).</w:t>
      </w:r>
    </w:p>
    <w:p>
      <w:r>
        <w:t>Regeste Sursis concordataire (art. 293 sv. LP). Les effets du sursis cessent si le dossier n'est pas transmis à l'autorité du concordat (art. 304 LP) pendant le sursis, dont la durée peut être prolongée (art. 295 LP). Si la transmission a lieu à temps, le sursis déploie ses effets, sans limitation dans le temps, jusqu'à la clôture de la procédure d'homologation, soit jusqu'à la publication du jugement exécutoire de l'autorité du concordat (art. 308 LP).</w:t>
      </w:r>
    </w:p>
    <w:p>
      <w:r>
        <w:t>Regesto Moratoria (art. 293 sgg. LEF). Gli effetti della moratoria cessano se gli atti non sono trasmessi all'autorità del concordato (art. 304 LEF) durante la moratoria, la cui durata può essere prorogata (art. 295 LEF). Se la trasmissione avviene tempestivamente, la moratoria esplica i suoi effetti, senza limitazioni nel tempo, sino alla chiusura della procedura d'omologazione, ossia sino alla pubblicazione della decisione definitiva dell'autorità del concordato (art. 308 LEF).</w:t>
      </w:r>
    </w:p>
    <w:p>
      <w:pPr>
        <w:pStyle w:val="Heading2"/>
      </w:pPr>
      <w:r>
        <w:t>Erwägungen</w:t>
      </w:r>
    </w:p>
    <w:p>
      <w:r>
        <w:rPr>
          <w:b/>
        </w:rPr>
        <w:t>E. 1</w:t>
      </w:r>
    </w:p>
    <w:p>
      <w:r>
        <w:t>Die Befristung der Nachlassstundung auf eine bestimmte Dauer mit allfälliger Verlängerung im gesetzlichen Rahmen ( Art. 295 SchKG ) hat nach ständiger, vom Bundesrat begründeter und vom Bundesgericht beibehaltener Praxis keine absolute Bedeutung in dem Sinne, dass das Betreibungsverbot in allen Fällen auf die Dauer jener Frist begrenzt wäre. Notwendig ist freilich, dass das in die Hand des Sachwalters gelegte Vorbereitungsverfahren binnen dieser Frist zum Abschluss komme, d.h. die Akten mit seinem Gutachten vor Ablauf der Stundungsfrist gemäss Art. 304 SchKG der Nachlassbehörde unterbreitet werden. Geschieht dies indessen, so gilt einerseits die Angelegenheit als fristgemäss bei der Nachlassbehörde zum Entscheid über Bestätigung oder Verwerfung des Nachlassvertrages angebracht, und anderseits werden die Wirkungen der Nachlassstundung als bis zur öffentlichen Bekanntmachung des Endentscheides der Nachlassbehörde BGE 84 III 117 S. 119 (allenfalls der obern Instanz im Rekursverfahren nach Art. 307 SchKG ) fortdauernd erachtet (Entscheid des Bundesrates vom 24. Oktober 1893: Archiv für Schuldbetreibung und Konkurs 3 N. 9; BGE 33 I 813 = Sep.-Ausg. 10 S. 237). An dieser von der Rechtslehre gebilligten Praxis (JAEGER, N. 2 zu Art. 295 und N. 5 zu Art. 308 SchKG ; BLUMENSTEIN, Handbuch S. 901 Fuss-N. 13; E. BRAND, Nachlassvertrag II, SJK 959, Fuss-N. 16) ist festzuhalten. Durch die zeitliche Begrenzung der Nachlassstundung sollen Schuldner und Sachwalter zu ungesäumter Beschaffung der Grundlagen für den behördlichen Entscheid veranlasst werden. Der Zweck der Befristung ist erfüllt, wenn die Nachlassbehörde innert der Frist mit der Vorlage befasst wird. Damit soll aber nicht nur der Anspruch auf einen Sachentscheid gewahrt sein, sondern der Schuldner bis zur rechtskräftigen Erledigung der Sache auch im Genuss der Stundungswirkungen bleiben, ansonst er Eingriffen ausgesetzt wäre, die den Vollzug des Nachlassvertrages erschweren könnten und jedenfalls, wenn dieser bestätigt wird, sich als überflüssig erweisen. An dieser Rechtslage hat sich durch die Gesetzesrevision vom 28. September 1949 nichts geändert. Wenn danach die Nachlassstundung nunmehr erstmals bis zu vier Monaten (statt wie bisher nur bis zu zwei Monaten) bemessen werden darf (mit unveränderter Möglichkeit einer Verlängerung um höchstens zwei Monate), so ist dadurch lediglich dem Vorbereitungsverfahren mehr Raum gegeben, der Stundung als solcher aber keine andere Bedeutung beigelegt worden. Es bleibt daher bei der wirksamen Einhaltung der Stundungsfrist, wenn vor deren Ablauf das Bestätigungsverfahren bei der Nachlassbehörde gemäss Art. 304 SchKG eingeleitet wird. Und mit Rücksicht auf den ausstehenden Sachentscheid müssen die Wirkungen der Stundung nach wie vor bis zur Beendigung des gesamten Nachlassverfahrens fortdauern. Diesen letztern Grundsatz bringt übrigens die Vorschrift von Art. 308 Abs. 2 SchKG zum Ausdruck, wonach mit der BGE 84 III 117 S. 120 öffentlichen Bekanntmachung des Entscheides über Bestätigung oder Verwerfung des Nachlassvertrages (nach Eintritt der Rechtskraft gemäss Abs. 1 daselbst) "die Wirkungen der Stundung dahinfallen". Freilich wird dabei stillschweigend vorausgesetzt, dass binnen der Stundungsfrist als solcher das Nötige vorgekehrt wurde, um einem Hinfall der Stundungswirkungen vorzubeugen. Dies ist aber im vorliegenden Falle nach dem Gesagten geschehen.</w:t>
      </w:r>
    </w:p>
    <w:p>
      <w:r>
        <w:rPr>
          <w:b/>
        </w:rPr>
        <w:t>E. 2</w:t>
      </w:r>
    </w:p>
    <w:p>
      <w:r>
        <w:t>Die Rekurrenten nehmen ferner den Standpunkt ein, auch wenn man grundsätzlich die im soeben dargelegten Sinn benutzte Nachlassstundung fortdauern lasse, könne doch das Betreibungsverbot nicht beliebig lange aufrecht bleiben, sondern sei bei ungebührlicher Verzögerung des Entscheides der Nachlassbehörde als hinfällig zu betrachten. Dem ist nicht beizustimmen. Ist die Nachlassbehörde fristgemäss mit der Frage der Bestätigung oder Verwerfung des Nachlassvertrages befasst worden, so muss vielmehr auch die Stundung bis zur Bekanntmachung des rechtskräftigen Endentscheides andauern. Fraglich kann nur sein, ob die Gläubiger jede Verzögerung dieses Entscheides hinzunehmen haben, oder ob ihnen Rechtsmittel zur Verfügung stehen, um eine Beschleunigung des Bestätigungsverfahrens zu erwirken oder aber dieses als erfolglos ohne Sachentscheid beendigen zu lassen. Darüber ist indessen hier nicht zu befinden, da es keinesfalls den betreibungsrechtlichen Aufsichtsbehörden zusteht, gegen die Nachlassbehörden einzuschreiten. Solange das Bestätigungsverfahren vor diesen Behörden hängig ist - und das trifft im vorliegenden Falle zur Zeit noch zu - haben die Betreibungsbehörden die fortdauernden Wirkungen der Nachlassstundung zu beachten. AusBGE 51 III 189, worauf die Rekurrenten mit dem von ihnen befragten Gutachter hinweisen, lässt sich nichts Abweichendes herleiten. Wenn die Nachlassbehörde das Bestätigungsverfahren über die bei ihr fristgemäss angebrachte Angelegenheit durchführt, so handelt sie im Rahmen ihrer Zuständigkeit, BGE 84 III 117 S. 121 und es kann von einem unzuständigerweise erfolgenden Eingriff in ein Betreibungsverfahren nicht die Rede sein. .....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