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72</w:t>
      </w:r>
    </w:p>
    <w:p>
      <w:r>
        <w:t>Bundesgericht (BGE), 1957-01-01, DE</w:t>
      </w:r>
    </w:p>
    <w:p>
      <w:r>
        <w:rPr>
          <w:b/>
        </w:rPr>
        <w:t xml:space="preserve">Quelle: </w:t>
      </w:r>
      <w:r>
        <w:t>https://mcp.opencaselaw.ch/entscheid/bge_BGE_83_I_72</w:t>
      </w:r>
    </w:p>
    <w:p>
      <w:r>
        <w:t>FR: ATF 83 I 72</w:t>
      </w:r>
    </w:p>
    <w:p>
      <w:r>
        <w:t>IT: DTF 83 I 72</w:t>
      </w:r>
    </w:p>
    <w:p>
      <w:pPr>
        <w:pStyle w:val="Heading2"/>
      </w:pPr>
      <w:r>
        <w:t>Regeste</w:t>
      </w:r>
    </w:p>
    <w:p>
      <w:r>
        <w:t>Regeste Enteignung. Alle Posten der Enteignungsentschädigung im Sinne von Art. 19 EntG sind gleichzeitig zu beurteilen. Die Schätzungskommission darf nicht die Vergütung für den Verkehrswert der enteigneten Liegenschaft (Art. 19 lit. a) vorweg festsetzen, den Entscheid über die weitern Nachteile (Art. 19 lit. c) auf später verschieben und anordnen, dass gegen Zahlung der Verkehrswertentschädiädigung das Eigentum an der enteigneten Liegenschaft auf den Enteigner übergehe.</w:t>
      </w:r>
    </w:p>
    <w:p>
      <w:r>
        <w:t>Regeste Expropriation. Tous les éléments de l'indemnité d'expropriation cités par l'art. 19 LEx doivent être appréciés en meme temps. La commission d'estimation ne saurait commencer par fixer l'indemnité relative à la valeur vénale de l'immeuble exproprié (art. 19 litt. a), renvoyer à plus tard sa décision quant aux autres préjudices (art. 19 litt. c) et ordonner que la propriété de l'immeuble exproprié passera à l'expropriant contre paiement de l'indemnité pour la valeur vénale.</w:t>
      </w:r>
    </w:p>
    <w:p>
      <w:r>
        <w:t>Regesto Espropriazione. Tutti gli elementi dell'indennità d'espropriazione a norma dell'art. 19 LEspr. devono essere vagliati nello stesso tempo. La Commissione di stima non può fissare dapprima l'indennità relativa al valore venale dell'immobile espropriato(art. 19 lett. a), differire a più tardi la decisione circa gli altri pregiudizi (art. 19 lett. c) e ordinare la trasmissione della proprietà dell'immobile dall'espropriato all'espropriante verso pagamento dell'indennità per il valore venale.</w:t>
      </w:r>
    </w:p>
    <w:p>
      <w:pPr>
        <w:pStyle w:val="Heading2"/>
      </w:pPr>
      <w:r>
        <w:t>Erwägungen</w:t>
      </w:r>
    </w:p>
    <w:p>
      <w:r>
        <w:rPr>
          <w:b/>
        </w:rPr>
        <w:t>E. 1</w:t>
      </w:r>
    </w:p>
    <w:p>
      <w:r>
        <w:t>(Zur Rüge, dass die Schätzungskommission den Anspruch auf Ersatz des Verkehrswerts der enteigneten Liegenschaft nicht vollständig beurteilt habe.)</w:t>
      </w:r>
    </w:p>
    <w:p>
      <w:r>
        <w:rPr>
          <w:b/>
        </w:rPr>
        <w:t>E. 2</w:t>
      </w:r>
    </w:p>
    <w:p>
      <w:r>
        <w:t>Die Enteignung kann gemäss Art. 16 EntG (wo der in Art. 23 Abs. 2 BV aufgestellte allgemeine Grundsatz bestätigt wird) nur gegen volle Entschädigung erfolgen. BGE 83 I 72 S. 77 Der Enteigner erwirbt das Eigentum am enteigneten Grundstück (oder das auf dem Enteignungsweg eingeräumte Recht an einem Grundstück) gemäss Art. 91 EntG erst durch die Bezahlung der "Entschädigungen". Darunter ist unzweifelhaft die Gesamtheit der dem Enteigneten nach Art. 19 EntG zukommenden Leistungen zu verstehen. Das ergibt sich nicht nur aus dem im gleichen Unterabschnitt (über die Bezahlung der Entschädigung) stehenden Art. 89 EntG , der in Abs. 1 die Entschädigungen gemäss Art. 19 lit. a und b und in Abs. 2 diejenige gemäss Art. 19 lit. c erwähnt, sondern vor allem auch daraus, dass allein diese Auslegung gewährleistet, dass der Enteignete sein Eigentum wirklich nur gegen volle Entschädigung preiszugeben hat. Vor Bezahlung der gesamten Entschädigung erwirbt der Enteigner das Eigentum am enteigneten Grundstück nur in den hier nicht gegebenen Ausnahmefällen von Art. 88 Abs. 1 Satz 2 und Art. 86 Abs 2 EntG , nämlich dann, wenn als Entschädigung für den Verkehrswert eines noch nicht endgültig vermessenen Grundstücks neunzig vom Hundert der nach den Massen im aufgelegten Plan berechneten Summe bezahlt sind oder wenn der bundesgerichtliche Instruktionsrichter nach Durchführung des Schriftenwechsels auf Verlangen des Enteigneten die sofortige Bezahlung der nicht mehr streitigen Entschädigung anordnet und gegen Sicherstellung des noch streitigen Betrags verfügt, dass die Wirkung der Enteignung schon mit der Bezahlung der Teilentschädigung (d.h. des nicht mehr streitigen Betrags) eintrete. Im vorliegenden Fall umfasst die vom Enteigner zu bezahlende volle Entschädigung neben dem von der Vorinstanz festgesetzten Verkehrswert im Sinne von Art. 19 lit. a EntG unstreitig auch eine Entschädigung für Enteignungsnachteile im Sinne von Art. 19 lit. c. Indem die Vorinstanz erkannte, dass die enteignete Liegenschaft auf den 1. April 1957 in das Eigentum der SBB übergehe und dass diese dafür (wenigstens einstweilen) nur die auf Fr. 588'000.-- bezifferte Verkehrswertentschädigung zu bezahlen haben, hat sie also die klaren Bestimmungen von BGE 83 I 72 S. 78 Art. 16 und 91 EntG verletzt. Mit der Zuweisung des Eigentums auf den 1. April 1957 gegen blosse Zahlung des Verkehrswerts wäre übrigens, selbst wenn dieser bis zum angegebenen Tag endgültig festgesetzt werden könnte, für die SBB auch rein praktisch nichts gewonnen; denn die bei Bemessung der Enteignungsnachteile zu berücksichtigenden Vorteile der neuen Anlage gegenüber der alten lassen sich so wenig wie der Verkehrswert der enteigneten Liegenschaft ohne Besichtigung der alten Gebäude richtig schätzen, so dass den SBB der Abbruch trotz dem Eigentumsübergang verboten werden müsste, wenn es nicht möglich wäre, die alten Gebäude noch vor dem 1. April 1957 durch die mit der Schätzung der Enteignungsfolgen betrauten Sachverständigen beider Instanzen besichtigen zu lassen. Daher muss auf jeden Fall das den Eigentumsübergang anordnende Dispositiv 1 des Erkenntnisses der Vorinstanz aufgehoben werden.</w:t>
      </w:r>
    </w:p>
    <w:p>
      <w:r>
        <w:rPr>
          <w:b/>
        </w:rPr>
        <w:t>E. 3</w:t>
      </w:r>
    </w:p>
    <w:p>
      <w:r>
        <w:t>Das angefochtene Erkenntnis lässt sich aber auch insoweit nicht aufrechterhalten, als es im Sinne eines Teilentscheids über einen von mehreren Posten der Enteignungsentschädigung den Verkehrswert der enteigneten Liegenschaft festsetzt (Dispositiv 2) und den Entscheid über die Enteignungsfolgen auf später verschiebt. Die Art. 64. lit. a, 72, 73 Abs. 1 lit. g, 73 Abs. 2, 74 Abs. 1, 75, 76, 88 Abs. 1 und 116 EntG sprechen von der "Entschädigung" bzw. vom "Entscheid" der Schätzungskommission in der Einzahl. Von einem Teilentscheid über einzelne Entschädigungsposten und einer Trennung des Verfahrens ist im Gesetz nirgends die Rede. Schon deshalb liegt die Annahme nahe, dass die Schätzungskommission die gesamte Entschädigung in einem einzigen Entscheide festzusetzen hat. Der entscheidende Grund für diese Auslegung des Gesetzes liegt aber nicht im Wortlaut, sondern in sachlichen Erwägungen. Die Entschädigung für eine und dieselbe Enteignung bildet ihrer Natur nach eine Einheit, auch wenn sie aus verschiedenen Bestandteilen besteht. Sie ist das Entgelt für das Interesse, das der Enteignete hatte, nicht enteignet zu werden (vgl. W. BURCKHARDT, BGE 83 I 72 S. 79 Die Entschädigungspflicht nach schweizerischem Expropriationsrecht, ZSR 1913 S. 145 ff.). Wenn der Enteignete eine aus verschiedenen Posten zusammengesetzte Entschädigungsforderung stellt, hat man es nicht etwa mit einer Klagenhäufung im Sinne von Art. 24 BZP zu tun, so wenig wie dort, wo ein Verunfallter im Prozess die Unfallfolgen einklagt und hierbei z.B. Ersatz für Heilungskosten, für eingetretenen Verdienstausfall und für Verminderung der künftigen Erwerbsfähigkeit sowie eine Genugtuungssumme verlangt. Eine Teilung des Verfahrens nach Art. 24 Abs. 3 des Gesetzes über den Bundeszivilprozess (das gemäss Art. 3 der Verordnung für die eidgenössischen Schätzungskommissionen vom 22. Mai 1931 auf das Verfahren dieser Kommissionen entsprechende Anwendung findet, soweit sich aus Gesetz und Verordnung nichts anderes ergibt und die Natur des Verfahrens nicht entgegensteht) kommt also keinesfalls in Frage. So wie der Zivilrichter die Beurteilung eines nicht ziffernmässig nachweisbaren Schadenspostens nicht einfach verweigern oder auf die Zukunft verschieben darf, sondern gemäss Art. 42 OR den Schaden nach dem gewöhnlichen Lauf der Dinge "abschätzen" muss, so muss der Richter auch im Enteignungsverfahren alle Posten der einheitlichen Enteignungsentschädigung auf einmal erledigen. Die Beurteilung der verschiedenen Bestandteile der Enteignungsentschädigung in getrennten Verfahren ist zudem deswegen abzulehnen, weil sie unvermeidlich auch zu praktischen Schwierigkeiten führt. Zu wissen, wieviel die Entschädigung insgesamt ausmacht, ist für die Parteien weit wichtiger als die Kenntnis der Einzelposten. Solange ihnen nicht bekannt ist, auf welchen Betrag die Schätzungskommission die Gesamtentschädigung bemisst, können sie also nicht richtig beurteilen, ob eine Weiterziehung an das Bundesgericht sich lohne. Ausserdem kann die Teilung des Verfahrens dazu führen, dass die Erledigung der ganzen Sache sich verzögert; denn wenn der auf einen einzelnen Posten bezügliche Teilentscheid weitergezogen wird, so ist es aus technischen Gründen (weil die Akten immer nur BGE 83 I 72 S. 80 einer der beiden Instanzen zur Verfügung stehen können) oft nicht möglich, das bei der Schätzungskommission verbliebene und das beim Bundesgericht hängige Verfahren gleichzeitig zu fördern, sondern die eine oder andere Instanz muss unter Umständen den Fall ruhen lassen, obwohl er für sie spruchreif geworden ist. Schliesslich können sich aus der Teilung des Verfahrens auch Kompetenzkonflikte ergeben. Wird wie hier vorweg über den Verkehrswert entschieden und gegen diesen Entscheid der Rekurs ans Bundesgericht ergriffen, während die Schätzungskommission mit der Frage der Inkonvenienzen befasst bleibt, so weiss man nicht, ob fortan diese Behörde oder aber der bundesgerichtliche Instruktionsrichter über allfällige Gesuche um vorzeitige Besitzeinweisung im Sinne von Art 76 EntG zu befinden habe. (Zur Anwendung dieser Bestimmung im Verfahren vor Bundesgericht vgl. BGE 80 I 109 f.) Alle diese Schwierigkeiten und Unzukömmlichkeiten lassen sich nur dadurch verhindern, dass man eine derartige Teilung des Verfahrens ausschliesst. Der angefochtene Teilentscheid ist daher aufzuheben und die Sache an die Vorinstanz zurückzuweisen zur Festsetzung der Gesamtentschädigung in einem einzigen Entscheide. Hätte die Vorinstanz das Verfahren nicht geteilt und zur Abschätzung der im Gefolge der Enteignung entstehenden Nachteile ( Art. 19 lit. c EntG ) die entsprechenden Sachverständigen beigezogen, so läge wohl heute, da die Schätzung aller Inkonvenienzen spätestens zu Beginn dieses Jahres (zwei oder drei Monate vor der Betriebsverlegung) möglich geworden war, bereits ein erstinstanzlicher Entscheid über alle Entschädigungsposten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