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337</w:t>
      </w:r>
    </w:p>
    <w:p>
      <w:r>
        <w:t>Bundesgericht (BGE), 1957-01-01, DE</w:t>
      </w:r>
    </w:p>
    <w:p>
      <w:r>
        <w:rPr>
          <w:b/>
        </w:rPr>
        <w:t xml:space="preserve">Quelle: </w:t>
      </w:r>
      <w:r>
        <w:t>https://mcp.opencaselaw.ch/entscheid/bge_BGE_83_I_337</w:t>
      </w:r>
    </w:p>
    <w:p>
      <w:r>
        <w:t>FR: ATF 83 I 337</w:t>
      </w:r>
    </w:p>
    <w:p>
      <w:r>
        <w:t>IT: DTF 83 I 337</w:t>
      </w:r>
    </w:p>
    <w:p>
      <w:pPr>
        <w:pStyle w:val="Heading2"/>
      </w:pPr>
      <w:r>
        <w:t>Regeste</w:t>
      </w:r>
    </w:p>
    <w:p>
      <w:r>
        <w:t>Regeste Wehrsteuer: 1. Kapitalgewinne aus der Veräusserung von Vermögen unterliegen der Wehrsteuer für Einkommen, wenn sie in einem buchführungspflichtigen Betriebe erzielt worden sind (Art. 21 Abs. 1 lit. d WStB). Der Wertzuwachs, den ein Vermögensstück erfahren hat, bevor es ins Geschäftsvermögen gelangt ist, fällt ausser Betracht. Geschäftsvermögen kann eine Sache in der Regel nur sein, wenn sie dem Betriebsinhaber zu Eigentum gehört. 2. Berechnung des steuerbaren Liquidationsgewinns in einem Falle, wo der Verkäufer das Geschäft von der mit ihm in Güterverbindung lebenden Ehefrau zu deren Lebzeiten übernommen, aber das für den Betrieb verwendete Grundstück erst nach ihrem Tode zu Eigentum erworben hat.</w:t>
      </w:r>
    </w:p>
    <w:p>
      <w:r>
        <w:t>Regeste Impôt pour la défense nationale: 1. Les bénéfices en capital provenant de l'aliénation de biens composant la fortune sont soumis à l'impôt sur le revenu lorsqu'ils sont réalisés dans une entreprise astreinte à tenir des livres (art. 21 al. 1 lit. d AIN). La plus-value qu'un élément de la fortune a subie avant d'être compris dans la fortune commerciale n'entre pas en ligne de compte. En principe, une chose ne peut appartenir à la fortune commerciale que lorsqu'elle est dans la propriété du titulaire de l'exploitation. 2. Calcul du bénéfice de liquidation imposable lorsque le vendeur, qui avait repris l'affaire de sa femme alors qu'elle vivait avec lui sous le régime de l'union des biens, n'a cependant acquis la propriété des fonds utilisé pour l'exploitation qu'après la mort de sa femme.</w:t>
      </w:r>
    </w:p>
    <w:p>
      <w:r>
        <w:t>Regesto Imposta per la difesa nazionale: 1. I profitti in capitale derivanti dall'alienazione di beni che compongono la sostanza sono soggetti all'imposta sul reddito quando sono conseguiti nell'esercizio di un'azienda avente obbligo di tenere una contabilità (art. 21 cp. 1 lett. d DIN). Il maggior valore che un elemento patrimoniale ha acquistatoprima che fosse compreso nel patrimonio aziendale non è preso in considerazione. Una cosa può, di massima, far parte del patrimonio aziendale solo quando sia la proprietà del titolare dell'azienda. 2. Computo dell'utile di liquidazione imponibile quando il venditore ha assunto l'azienda della moglie mentre questa ancora viveva con lui sotto il regime dell'unione di beni, ma ha acquistato in proprietà il fondo utilizzato per l'esercizio solo dopo la morte della moglie medesima.</w:t>
      </w:r>
    </w:p>
    <w:p>
      <w:pPr>
        <w:pStyle w:val="Heading2"/>
      </w:pPr>
      <w:r>
        <w:t>Erwägungen</w:t>
      </w:r>
    </w:p>
    <w:p>
      <w:r>
        <w:rPr>
          <w:b/>
        </w:rPr>
        <w:t>E. 1</w:t>
      </w:r>
    </w:p>
    <w:p>
      <w:r>
        <w:t>Der Wehrsteuerbeschluss erfasst als Einkommen physischer Personen grundsätzlich den Ertrag bestimmter Einnahmequellen (Art. 21). Die Quelle ist gedacht als das Mittel, das dem Steuerpflichtigen Einnahmen zuführt, die als Erträgnisse dem bisherigen Besitze gegenübergestellt werden (Roheinkommen). Das Roheinkommen wird sodann berichtigt, indem die mit der Einkommenserzielung verbundenen Lasten in Rechnung gestellt werden (Art. 22 WStB). Veränderungen der Quelle dagegen sind bei Steuern auf Quellenerträgnissen in der Regel nicht zu beachten; die Besteuerung bleibt im Grundsatz auf die Erträgnisse (Reineinkünfte) beschränkt. Eine besondere Ordnung sieht der Wehrsteuerbeschluss für kaufmännische Betriebe vor. Danach bilden Kapitalgewinne aus Veräusserung und Verwertung sowie verbuchte Vermehrungen des Wertes von Vermögensstücken Bestandteile des Roheinkommens (Art. 21 Abs. 1 lit. d und f), während anderseits Entwertungen BGE 83 I 337 S. 342 und Geschäftsverluste abgezogen werden dürfen (Art. 22 Abs. 1 lit. b und c). Es wird auf den Geschäftserfolg abgestellt, wobei Gewinne und Verluste auf geschäftlichen Investitionen und damit Veränderungen der Einkommensquellen selber einbezogen werden. Bei nicht geschäftlichen Vermögen werden solche Veränderungen nicht berücksichtigt, sondern nur die Reineinkünfte erfasst ( BGE 72 I 39 f.; BGE 79 I 64 Erw. 2, 366 f.). Schwankungen des Wertes von Vermögensstücken fallen für die Steuer vom Einkommen geschäftlicher Unternehmen nur in Betracht, wenn die betreffenden Güter (Sachen oder Rechte) Geschäftsvermögen sind. Voraussetzung ist, dass die Vermögensstücke dem Geschäftsinhaber gehören und von ihm in der Unternehmung investiert sind. Es kommt grundsätzlich darauf an, ob sie zivilrechtlich ihm oder einem anderen zustehen; für Sachen sind also die privatrechtlichen Eigentumsverhältnisse massgebend (Urteil M. und S. vom 25. Juni 1948 betreffend die Kriegsgewinnsteuer, ASA 17, 231 ff.; im gleichen Sinne BGE 80 I 420 ff.). Gehört eine Sache nicht dem Geschäftsinhaber zu Eigentum, so kann sie, jedenfalls in der Regel, nicht seinem Geschäftsvermögen zugerechnet werden und berühren Veränderungen ihres Wertes den Geschäftserfolg nicht. So verhält es sich im allgemeinen dann, wenn der Unternehmer eine Sache mietet, wobei unerheblich ist, ob das Objekt (z.B. ein Haus) praktisch nur für geschäftliche Zwecke oder auch anderweitig verwendet werden kann (vgl. BGE 80 I 422 ). Gleich zu behandeln ist der Fall, wo der Geschäftsmann auf Grund des Zivilrechtes ein Nutzungsrecht an einer fremden Sache hat. Insbesondere wird ein im Eigentum der Ehefrau stehendes Geschäftshaus dadurch, dass der Ehemann es kraft der ihm nach Güterverbindungsrecht zustehenden Befugnisse für seinen Betrieb nutzt, noch nicht zu seinem Geschäftsvermögen. Wenn auch nach Art. 13 WStB die Steuerfaktoren der Ehefrau denjenigen des Ehemannes zugerechnet werden, BGE 83 I 337 S. 343 so bleibt die Ehefrau doch ein besonderes Steuersubjekt ( BGE 75 I 388 Erw. 3, BGE 76 I 400 ). Die von den Beteiligten gewählte Gestaltung der zivilrechtlichen Eigentumsverhältnisse wäre für die Besteuerung allenfalls dann nicht massgeblich, wenn anzunehmen wäre, sie sei ungewöhnlich ("insolite"), den wirtschaftlichen Gegebenheiten völlig unangemessen und diene lediglich der Steuerumgehung, so dass es sich rechtfertigen würde, von der zivilrechtlichen Form abzusehen und auf den wirtschaftlichen Sachverhalt abzustellen (ASA 17, 232 Erw. 2; vgl. BGE 80 I 34 ).</w:t>
      </w:r>
    </w:p>
    <w:p>
      <w:r>
        <w:rPr>
          <w:b/>
        </w:rPr>
        <w:t>E. 2</w:t>
      </w:r>
    </w:p>
    <w:p>
      <w:r>
        <w:t>Der Beschwerdeführer hat im Jahre 1934, nach der Heirat, das bisher von der nunmehrigen Ehefrau geführte Geschäftsunternehmen (Hotel und Restaurant) übernommen und als Inhaber einer Einzelfirma weiterbetrieben. Indessen ist die Liegenschaft nach Ausweis des Grundbuches bis zum Tode der Ehefrau im Jahre 1951 in deren Eigentum geblieben. Sie ist erst infolge dieses Todesfalles in das Eigentum und das Geschäftsvermögen des Ehemannes übergegangen. Vorher, in den Jahren 1934-1951, gehörte sie zum Privatvermögen der Ehefrau. Daran ändert es nichts, dass das Grundstück schon vor 1934 Geschäftsvermögen, und zwar zuletzt in der Hand der Witwe B. und nachmaligen Ehefrau des Beschwerdeführers, gewesen war. Die Lage hat sich im Jahre 1934 wesentlich geändert. Frau F. hat damals das Geschäft aufgegeben; die auf ihren Namen lautende Einzelfirma ist infolgedessen im Handelsregister gelöscht worden, und an deren Stelle ist diejenige des Ehemannes getreten. Die Ehefrau hat das Geschäft dem Ehemann abgetreten, aber sich das Eigentum am Grundstück vorbehalten, so dass dieses nicht Geschäftsvermögen des Ehemannes geworden ist. Unerheblich ist sodann, dass der Handelsregistereintrag vom 12. April 1934 ohne Einschränkung feststellt, die neue Einzelfirma des Beschwerdeführers übernehme "Aktiven und Passiven" der erloschenen Firma, und ebensowenig BGE 83 I 337 S. 344 kommt darauf etwas an, dass der Beschwerdeführer die Liegenschaft seit 1934 in seiner Geschäftsbuchhaltung erscheinen liess. Massgebend ist der Grundbucheintrag, wonach das Grundstück, auch im Verhältnis zum Beschwerdeführer, in den Jahren 1934-1951 Eigentum der Ehefrau war. Geschäftsvermögen hätte es damals nur dann sein können, wenn die Eigentümerin Inhaberin oder wenigstens Teilhaberin der Geschäftsunternehmung gewesen wäre. Weder das eine noch das andere trifft zu. Insbesondere haben die Eheleute F. für den Geschäftsbetrieb keine Gesellschaft gebildet, in welche das Grundstück als Geschäftsvermögen eingebracht worden wäre. Nichts lässt darauf schliessen, dass es nicht ihr Wille war, das Geschäft auf den Ehemann als alleinigen Inhaber zu übertragen, aber das Grundstück im Eigentum der Ehefrau zu belassen, wie dies in gesetzlicher Form in den Eintragungen im Handelsregister und im Grundbuch festgelegt wurde. Dass im Handelsregister schlechthin der Übergang der Aktiven und Passiven vermerkt und die Liegenschaft davon nicht ausdrücklich ausgenommen wurde, beruht offenbar auf einem Versehen oder einem Mangel an Genauigkeit; es wurde eine geläufige Kurzformel verwendet, ohne dass näher zugesehen wurde. Ähnlich verhält es sich mit der Geschäftsbuchhaltung; man hat darin einfach, nach dem Vorbild der bisherigen Bilanzen, die Liegenschaft weiterhin aufgeführt, ohne irgendwelche Wertberichtigungen vorzunehmen, so dass der Geschäftserfolg nicht beeinflusst wurde. Und wenn Frau F. im Betriebe des Ehemannes mitgearbeitet hat, so hat sie das nicht als Teilhaberin getan, sondern als Ehefrau des alleinigen Geschäftsinhabers, wie es in ähnlichen Fällen häufig vorkommt. Sie ist damit im Rahmen ihrer Aufgabe geblieben, den Ehemann in der Sorge für die Familie nach Kräften zu unterstützen ( Art. 161 ZGB ). Aus ihrer Mithilfe auf eine gesellschaftliche Beteiligung am Geschäft zu schliessen, ist verfehlt. Wohl standen dem Beschwerdeführer zu Lebzeiten der Ehefrau die aus den Regeln der Güterverbindung sich BGE 83 I 337 S. 345 ergebenden Rechte an der Liegenschaft zu, doch konnte er über diese nicht wie ein Eigentümer verfügen. Er konnte die Liegenschaft schon damals, auf Grund seiner Befugnis zur Verwaltung und Nutzung ( Art. 200, 201 ZGB ), für das Geschäft verwenden, war aber noch nicht in der Lage, sie dem Geschäftsvermögen einzuverleiben, in den Betrieb zu investieren. Das hat er erst getan und konnte er auch erst tun, nachdem er infolge des Todes der Ehefrau Eigentümer der Liegenschaft geworden war. Dass die von den Beteiligten im Jahre 1934 getroffene zivilrechtliche Regelung den wirtschaftlichen Verhältnissen völlig unangemessen gewesen und lediglich zum Zweck der Steuerumgehung gewählt worden sei, wird von keiner Seite behauptet, und es liegt auch nichts dafür vor. Es besteht kein Grund, für die Besteuerung von dieser Rechtsgestaltung abzusehen und einer wirtschaftlichen Betrachtungsweise zu folgen.</w:t>
      </w:r>
    </w:p>
    <w:p>
      <w:r>
        <w:rPr>
          <w:b/>
        </w:rPr>
        <w:t>E. 3</w:t>
      </w:r>
    </w:p>
    <w:p>
      <w:r>
        <w:t>Da der Beschwerdeführer die Liegenschaft erst im Jahre 1951, nachdem er sie gemäss Erbschaftsinventar zu Eigentum übernommen hatte, in sein Unternehmen investiert und damit zu seinem Geschäftsvermögen gemacht hat, kommt der Wertzuwachs, den sie vor diesem Zeitpunkte erfahren hat, für die Steuer auf dem Liquidationsgewinn, die der Beschwerdeführer nach Art. 43 WStB zu entrichten hat, nicht in Betracht. Nur die seither bis zum Verkauf (1953) eingetretene Wertvermehrung stellt einen Kapitalgewinn dar, den der Beschwerdeführer in seinem kaufmännischen Unternehmen erzielt hat und daher nach Art. 21 Abs. 1 lit. d WStB versteuern muss. Veränderungen des Wertes der Liegenschaft in der Zeit vor 1951 berühren das Geschäftsvermögen des Beschwerdeführers nicht; sie sind bei der Besteuerung seiner Einkünfte aus dem Geschäftsbetriebe, zu denen auch der Liquidationsgewinn gehört, ausser acht zu lassen. Für die Ermittlung des steuerbaren Liquidationsgewinnes ist im allgemeinen die Differenz zwischen dem bei der Veräusserung erzielten Reinerlös und dem Buchwert massgebend. BGE 83 I 337 S. 346 Der Beschwerdeführer hat in seiner Geschäftsbuchhaltung nach dem Erwerb des Grundstückes zu Eigentum den ursprünglichen Betrag von Fr. 113'250.--, zu dem das Objekt schon im Jahre 1934 bilanziert war, unverändert beibehalten. Diese Bewertung könnte der Besteuerung allenfalls zugrunde gelegt werden, wenn die Liegenschaft schon zu Lebzeiten der Ehefrau des Beschwerdeführers Geschäftsvermögen gewesen und als solches auf den Beschwerdeführer übergegangen wäre; in diesem Falle wäre es richtig, an den Wert anzuknüpfen, der seinerzeit der Ermittlung des steuerbaren Geschäftseinkommens gedient hätte ( BGE 82 I 116 Erw. 2). Indessen hat der Beschwerdeführer das Grundstück nicht als Geschäftsvermögen aus dem Nachlass der Ehefrau erhalten, da es ja zu deren Privatvermögen gehört hatte, sondern er hat es selber erst zu seinem Geschäftsvermögen gemacht, indem er es nach dem Eigentumserwerb im Jahre 1951 in sein Unternehmen investiert hat. Unter diesen Umständen kann auf jenen Buchwert nicht abgestellt werden, da er in offensichtlichem Widerspruch zu der wirklichen Sachlage steht. Die Liegenschaft wäre in den Jahren 1934-1951 gar nicht in die Geschäftsbilanz aufzunehmen gewesen, und nachher wurde sie darin mit einem Betrage weitergeführt, der in keiner Beziehung zu den vom Beschwerdeführer aufgewendeten Gestehungskosten stand. Würde der Betrag von Fr. 113'250.-- in Rechnung gestellt, so würden - selbst wenn er mit Rücksicht auf bauliche Aufwendungen während der Ehe um rund Fr. 30'000.-- erhöht wird - beim Beschwerdeführer entgegen der gesetzlichen Ordnung Wertvermehrungen besteuert, die nicht im Geschäftsvermögen entstanden sind. Vielmehr ist, mangels anderer tauglicher Grundlage, von den Gestehungskosten auszugehen, d.h. von den Beträgen, die der Beschwerdeführer im Jahre 1951 für den Erwerb des Grundstückes zu Eigentum aufbringen oder sich anrechnen lassen musste, bevor er das Objekt in sein Geschäft einbringen konnte. Dazu gehören der im Erbschaftsinventar BGE 83 I 337 S. 347 von 1951 festgesetzte Übernahmewert von Fr. 210'000.--, welcher der Berechnung der Abfindung für die Tochter zugrunde gelegt worden und dessen Angemessenheit nicht bestritten ist, und die dem Beschwerdeführer belasteten Inventarkosten von Fr. 471.--. Diese Beträge wären normalerweise in die Geschäftsbuchhaltung zu übernehmen gewesen. Auf dieser Grundlage ergibt sich, gemäss dem Hauptantrag des Beschwerdeführers, ein steuerbarer Liquidationsgewinn von Fr. 72'929. -.</w:t>
      </w:r>
    </w:p>
    <w:p>
      <w:r>
        <w:rPr>
          <w:b/>
        </w:rPr>
        <w:t>E. 4</w:t>
      </w:r>
    </w:p>
    <w:p>
      <w:r>
        <w:t>Da das Grundstück zum Privatvermögen der Frau F. gehört hat und als solches an die Erben gelangt ist, unterliegt der Kapitalgewinn, den die Tochter nach Auffassung der eidg. Steuerverwaltung bei der Erbteilung von 1951 realisiert hat, der Wehrsteuer vom Einkommen nicht; denn er ist nicht in einem kaufmännischen Unternehmen entstanden (Art. 21 Abs. 1 lit. d WStB).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