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335</w:t>
      </w:r>
    </w:p>
    <w:p>
      <w:r>
        <w:t>Bundesgericht (BGE), 1957-09-20, DE</w:t>
      </w:r>
    </w:p>
    <w:p>
      <w:r>
        <w:rPr>
          <w:b/>
        </w:rPr>
        <w:t xml:space="preserve">Quelle: </w:t>
      </w:r>
      <w:r>
        <w:t>https://mcp.opencaselaw.ch/entscheid/bge_BGE_83_I_335</w:t>
      </w:r>
    </w:p>
    <w:p>
      <w:r>
        <w:t>FR: ATF 83 I 335</w:t>
      </w:r>
    </w:p>
    <w:p>
      <w:r>
        <w:t>IT: DTF 83 I 335</w:t>
      </w:r>
    </w:p>
    <w:p>
      <w:pPr>
        <w:pStyle w:val="Heading2"/>
      </w:pPr>
      <w:r>
        <w:t>Regeste</w:t>
      </w:r>
    </w:p>
    <w:p>
      <w:r>
        <w:t>Regeste Wehrsteuer: 1. Die Frist für die Verwaltungsgerichtsbeschwerde beginnt von der Zustellung des angefochtenen Entscheides durch eingeschriebenen Brief an zu laufen. Eine Zustellung unter Nachnahme der Verfahrenskosten ist nicht zu beachten. 2. Wegen Gehilfenschaft bei Hinterziehung ist nur strafbar, wer vorsätzlich handelt.</w:t>
      </w:r>
    </w:p>
    <w:p>
      <w:r>
        <w:t>Regeste Impôt pour la défense nationale: 1. Le délai pour former le recours de droit administratif part de la notification, par lettre recommandée, de la décision entreprise. Il n'y a pas lieu de tenir compte d'une notification contre remboursement des frais de procédure. 2. Seul est punissable pour complicité de soustraction, celui qui a agi intentionnellement.</w:t>
      </w:r>
    </w:p>
    <w:p>
      <w:r>
        <w:t>Regesto Imposta per la difesa nazionale: 1. Il termine per interporre il ricorso di diritto amministrativo decorre dalla notificazione per lettera raccomandata della decisione impugnata. Non si deve tenere conto di una notificazione contro rimborso delle spese processuali. 2. Per complicità nella sottrazione é punibile solo chi ha agito con intenzione.</w:t>
      </w:r>
    </w:p>
    <w:p>
      <w:pPr>
        <w:pStyle w:val="Heading2"/>
      </w:pPr>
      <w:r>
        <w:t>Erwägungen</w:t>
      </w:r>
    </w:p>
    <w:p>
      <w:r>
        <w:rPr>
          <w:b/>
        </w:rPr>
        <w:t>E. 1</w:t>
      </w:r>
    </w:p>
    <w:p>
      <w:r>
        <w:t>Nach Art. 111 Abs. 2 WStB wird der Entscheid der kantonalen Rekurskommission den Beteiligten durch BGE 83 I 335 S. 336 eingeschriebenen Brief eröffnet. Die Zustellung in der Form, wie sie hier vorgeschrieben ist, hat im vorliegenden Fall erst am 19. Oktober 1956 stattgefunden. Von da an hat die dreissigtägige Frist des Art. 107 OG zu laufen begonnen. Der Beschwerdeführer hat sie eingehalten. Die Einrede, die am 16. November 1956 eingereichte Verwaltungsgerichtsbeschwerde sei verspätet, ist unbegründet. Vor dem 19. Oktober 1956 ist eine den gesetzlichen Anforderungen genügende Eröffnung nicht vorgenommen worden. Der Versuch einer Zustellung am 20. September 1956 unter Nachnahme der Kosten des Rekursverfahrens ist gescheitert an der Weigerung des Beschwerdeführers, die in unrichtiger Form übermittelte Sendung entgegenzunehmen. Zur Einlösung der Nachnahme war der Beschwerdeführer angesichts der Vorschrift in Art. 111 Abs. 2 WStB auch dann nicht verpflichtet, wenn er vom Inhalt der Sendung und vom Rechtsgrund der darauf lastenden Nachnahme Kenntnis hatte. Er konnte verlangen, dass ihm der Entscheid der Rekurskommission unbelastet zugestellt werde (Urteil H. vom 22. Dezember 1943, Archiv für schweiz. Abgaberecht Bd. 13, S. 15).</w:t>
      </w:r>
    </w:p>
    <w:p>
      <w:r>
        <w:rPr>
          <w:b/>
        </w:rPr>
        <w:t>E. 3</w:t>
      </w:r>
    </w:p>
    <w:p>
      <w:r>
        <w:t>In Art. 129 Abs. 3 WStB ist mit Strafe bedroht, "wer den Täter zu den in Abs. 1 und 2 bezeichneten Handlungen und Unterlassungen vorsätzlich bestimmt, ihm dabei Hilfe leistet oder dazu beiträgt oder beizutragen versucht, ihn der Strafverfolgung oder dem Strafvollzug zu entziehen" ("celui qui, intentionnellement, décide..., qui lui prête assistance... ou qui l'aide ou cherche à l'aider..."; "chiunque induce intenzionalmente..., lo assiste..., lo aiuta o tenta aiutarlo ..."). Wenn auch anscheinend in diesen Texten nichts ausdrücklich gesagt ist, dass die Beihilfe, gleich wie die Anstiftung, nur strafbar ist, wenn sie vorsätzlich verübt wird, so ist das doch der Sinn der Bestimmung (vgl. Art. 333 Abs. 3 StGB ). Wohl ist auch eine bloss fahrlässige Beförderung oder Erleichterung der Tat eines anderen denkbar. Indessen ist nach dem gemeinen Strafrecht nur die vorsätzlich begangene Beihilfe unter BGE 83 I 335 S. 337 Strafe gestellt ( Art. 25 StGB ; HAFTER, Lehrbuch des schweiz. Strafrechts, allg. Teil, S. 231 f.). Weshalb es gerade im Wehrsteuerrecht anders sein sollte, ist nicht ersichtlich. Wäre hier auch die fahrlässige Begehung strafbar, so würde das zu sachlich unhaltbaren Folgen führen, so dass sich die der gemeinrechtlichen Ordnung entsprechende Auslegung aufdrängt.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