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329</w:t>
      </w:r>
    </w:p>
    <w:p>
      <w:r>
        <w:t>Bundesgericht (BGE), 1957-10-23, DE</w:t>
      </w:r>
    </w:p>
    <w:p>
      <w:r>
        <w:rPr>
          <w:b/>
        </w:rPr>
        <w:t xml:space="preserve">Quelle: </w:t>
      </w:r>
      <w:r>
        <w:t>https://mcp.opencaselaw.ch/entscheid/bge_BGE_83_I_329</w:t>
      </w:r>
    </w:p>
    <w:p>
      <w:r>
        <w:t>FR: ATF 83 I 329</w:t>
      </w:r>
    </w:p>
    <w:p>
      <w:r>
        <w:t>IT: DTF 83 I 329</w:t>
      </w:r>
    </w:p>
    <w:p>
      <w:pPr>
        <w:pStyle w:val="Heading2"/>
      </w:pPr>
      <w:r>
        <w:t>Regeste</w:t>
      </w:r>
    </w:p>
    <w:p>
      <w:r>
        <w:t>Regeste Art. 46 Abs. 2 BV. Der bei der Veräusserung eines Kaufsrechts an einem Grundstück erzielte Gewinn untersteht grundsätzlich der Steuerhoheit des Liegenschaftskantons.</w:t>
      </w:r>
    </w:p>
    <w:p>
      <w:r>
        <w:t>Regeste Art. 46 al. 2 Cst. Le bénéfice réalisé lors de la vente d'un droit d'emption sur un immeuble est soumis en principe à la souveraineté fiscale du canton où se trouve l'immeuble.</w:t>
      </w:r>
    </w:p>
    <w:p>
      <w:r>
        <w:t>Regesto Art. 46 cp. 2 CF. L'utile attuato con la vendita di un diritto di compera su un immobile è soggetto di massima alla sovranità fiscale del Cantone in cui l'immobile è situato.</w:t>
      </w:r>
    </w:p>
    <w:p>
      <w:pPr>
        <w:pStyle w:val="Heading2"/>
      </w:pPr>
      <w:r>
        <w:t>Erwägungen</w:t>
      </w:r>
    </w:p>
    <w:p>
      <w:r>
        <w:rPr>
          <w:b/>
        </w:rPr>
        <w:t>E. 1</w:t>
      </w:r>
    </w:p>
    <w:p>
      <w:r>
        <w:t>Der Gewinn, den der Beschwerdeführer bei der Übertragung eines Kaufsrechts an einem im Kanton Zürich gelegenen Grundstück erzielt hat, ist vom Wohnsitzkanton Nidwalden nicht besteuert worden. Dies schliesst jedoch das Vorliegen eines interkantonalen Doppelbesteuerungskonflikts nicht aus. Die bundesgerichtlichen Kollisionsnormen richten sich nicht nur gegen die aktuelle, sondern auch gegen die virtuelle Doppelbesteuerung; sie verbieten den Eingriff in die Steuerhoheit eines andern Kantons selbst dann, wenn dieser von seinem Besteuerungsrecht keinen Gebrauch macht ( BGE 83 I 106 Erw. 2, 262, und dort angeführte Urteile).</w:t>
      </w:r>
    </w:p>
    <w:p>
      <w:r>
        <w:rPr>
          <w:b/>
        </w:rPr>
        <w:t>E. 2</w:t>
      </w:r>
    </w:p>
    <w:p>
      <w:r>
        <w:t>Nach § 161 Abs. 1 des Zürcher Steuergesetzes wird die Grundstücksgewinnsteuer auf den Gewinnen erhoben, die sich bei Handänderungen an Grundstücken oder Anteilen an solchen ergeben. Den Handänderungen stellt lit. a der genannten Bestimmung die Rechtsgeschäfte gleich, "die bezüglich der Verfügungsgewalt über Grundstücke tatsächlich und wirtschaftlich wie Handänderungen wirken". Als solches Rechtsgeschäft hat gemäss ständiger Praxis der Zürcher Steuerbehörden auch die Übertragung eines Kaufsrechts zu gelten (vgl. BGE 79 I 22 ). Der Beschwerdeführer ficht diese Betrachtungsweise an sich nicht an; er wendet lediglich ein, der Kanton Zürich dürfe nicht auf dem Wege der Auslegung des kantonalen Steuergesetzes in die Steuerhoheit des Kantons Nidwalden übergreifen. Bei der Abgrenzung der Steuerhoheit der Kantone ist der Staatsgerichtshof nicht an die Umschreibung des Grundstücksgewinns und der Grundstücksgewinnsteuerpflicht in den kantonalen Steuerrechten gebunden. Er hat hierüber vielmehr eigene Normen aufgestellt. BGE 83 I 329 S. 333 Nach der Rechtsprechung des Bundesgerichts steht das Grundeigentum und sein Ertrag unter der Steuerhoheit des Kantons, in dem es sich befindet. Das gleiche gilt grundsätzlich für den bei der Veräusserung einer Liegenschaft erzielten Gewinn, und zwar ohne Rücksicht darauf, ob er durch die Einkommenssteuer oder eine besondere Wertzuwachs- oder Grundstücksgewinnsteuer erfasst wird ( BGE 45 I 286 ). Wurde dies in älteren Entscheiden nur mit Bezug auf Gewinne aus sogen. Wertzuwachs anerkannt, der ohne Zutun des Verkäufers entstanden ist, so behandelt die neuere Rechtsprechung den Gewinn, auch soweit er auf die persönlichen Bemühungen des Veräusserers und namentlich auf die Geschäftstätigkeit eines berufsmässigen Liegenschaftshändlers zurückzuführen ist, in der Regel als Liegenschaftsertrag, der im Kanton der gelegenen Sache zu besteuern ist ( BGE 79 I 145 ff., BGE 83 I 187 Erw. 2, 265, sowie zahlreiche nicht veröffentlichte Urteile). Den Ausschlag dafür gibt die Erwägung, dass der durch die persönlichen Bemühungen des Verkäufers bewirkte Gewinn regelmässig so sehr hinter dem durch äussere Ursachen (wie Konjunktur und Währungslage) sowie durch die örtlichen Verhältnisse (Anlage von Strassen und Kanalisationen, zunehmende Überbauung, erhöhte Nachfrage nach Land usw.) bedingten Wertzuwachs zurücktritt, dass sich eine Sonderbehandlung des (ausserdem meist schwer abzugrenzenden) Geschäftsgewinns nicht rechtfertigt. Dies trifft entgegen den Einwendungen des Beschwerdeführers auch dann zu, wenn der Veräusserer für ein kurz zuvor erworbenes Grundstück einen wesentlich über dem Ankaufspreise liegenden Verkaufspreis erzielt. Da der Gewinn auch in diesem Falle in überwiegendem Mass nicht den Anstrengungen des Verkäufers entspringt, sondern der Marktentwicklung, an der das Grundstück teilhat, erscheint es als folgerichtig, den ganzen Gewinn durch den Liegenschaftskanton besteuern zu lassen.</w:t>
      </w:r>
    </w:p>
    <w:p>
      <w:r>
        <w:rPr>
          <w:b/>
        </w:rPr>
        <w:t>E. 3</w:t>
      </w:r>
    </w:p>
    <w:p>
      <w:r>
        <w:t>Zu prüfen ist, ob dieser Grundsatz auch gelte, wenn der Gewinn, wie es hier zutrifft, nicht vom bisherigen Eigentümer beim Verkauf des Grundstücks, sondern BGE 83 I 329 S. 334 vom Kaufsberechtigten bei der Übertragung des Kaufsrechts erzielt worden ist. Dass Gewinne der einen wie der andern Art weitgehend auf die nämlichen äusseren Ursachen und örtlichen Verhältnisse zurückzuführen sind, ist nicht zu verkennen. Im Gegensatz zu den Fällen, in denen ein einfaches Mäklerverhältnis vorliegt, ist somit auch hier in erster Linie die Liegenschaft die Einkommensquelle und nicht die Handelstätigkeit des Veräusserers. Dass das Grundstück, das die Erzielung des Gewinns ermöglicht hat, nicht im Eigentum des Veräusserers steht, sondern dass dieser darüber nur in wirtschaftlichem Sinne und auf Grund eines bloss obligatorischen Rechtsverhältnisses verfügen kann, ändert an der engen Verbundenheit des Einkommens mit dem Grund und Boden nichts. Dieser Zusammenhang aber ist (und insofern kann an den Erwägungen des angeführten Urteils i.S. H. nicht festgehalten werden) für die Begründung der Steuerhoheit des Liegenschaftskantons entscheidend, kommt es hiefür doch auf die objektive Eigenart des Einkommens im Hinblick auf das Grundstück und nicht auf die Stellung der Person an, die dieses Einkommen verwirklicht (vgl. BGE 68 I 72 ). Der vom Kaufsberechtigten bei der Übertragung des Kaufsrechts an einem Grundstück erzielte Gewinn ist deshalb grundsätzlich am Ort der gelegenen Sache zu versteuern. Allein diese Steuerausscheidung vermag denn auch, wie der Regierungsrat des Kantons Zürich mit Recht ausgeführt hat, eine vollständige steuerliche Erfassung der wirtschaftlich erheblich ins Gewicht fallenden Zwischengewinne des Liegenschaftshandels zu gewährleisten und Steuerumgehungen wirksam Einhalt zu gebieten. Der Beschwerdeführer hat somit den Gewinn, den er bei der Abtretung des Kaufsrechts an der Liegenschaft Hohlstrasse 608 in Zürich erzielt hat, im Kanton Zürich zu versteuern.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