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11</w:t>
      </w:r>
    </w:p>
    <w:p>
      <w:r>
        <w:t>Bundesgericht (BGE), 1957-03-13, FR</w:t>
      </w:r>
    </w:p>
    <w:p>
      <w:r>
        <w:rPr>
          <w:b/>
        </w:rPr>
        <w:t xml:space="preserve">Quelle: </w:t>
      </w:r>
      <w:r>
        <w:t>https://mcp.opencaselaw.ch/entscheid/bge_BGE_83_I_11</w:t>
      </w:r>
    </w:p>
    <w:p>
      <w:r>
        <w:t>FR: ATF 83 I 11</w:t>
      </w:r>
    </w:p>
    <w:p>
      <w:r>
        <w:t>IT: DTF 83 I 11</w:t>
      </w:r>
    </w:p>
    <w:p>
      <w:pPr>
        <w:pStyle w:val="Heading2"/>
      </w:pPr>
      <w:r>
        <w:t>Regeste</w:t>
      </w:r>
    </w:p>
    <w:p>
      <w:r>
        <w:t>Regeste Art. 45 Abs. 3 BV: Prüfungsbefugnis des Bundesgerichts. Voraussetzungen des Niederlassungsentzuges: Zweimalige Verurteilung (Sonderfall des bedingten Strafvollzugs und der Zusatzstrafe), schwere Vergehen, Wohnsitz im Niederlassungskanton zur Zeit sowohl der Begehung des letzten schweren Vergehens als auch der Ausweisung (Ausnahmen von dieser letzten Voraussetzung).</w:t>
      </w:r>
    </w:p>
    <w:p>
      <w:r>
        <w:t>Regeste Art. 45 al. 3 Cst. Pouvoir d'examen du Tribunal fédéral. Conditions du retrait d'établissement: double condamnation (cas spéciaux de la peine prononcée avec sursis et de la peine complémentaire), délits graves, résidence dans le canton tant à l'époque du dernier délit grave qu'à celle de l'expulsion (exceptions à cette dernière condition).</w:t>
      </w:r>
    </w:p>
    <w:p>
      <w:r>
        <w:t>Regesto Art. 45 cp. 3 C.F. Potere d'esame del Tribunale federale. Presupposti per revocare il domicilio: doppia condanna (caso speciale della pena pronunciata con la condizionale e della pena accessoria), gravi trasgressioni, residenza nel Cantone sia all'epoca dell'ultima trasgressione grave sia a quella dell'espulsione (eccezioni a quest'ultima condizione).</w:t>
      </w:r>
    </w:p>
    <w:p>
      <w:pPr>
        <w:pStyle w:val="Heading2"/>
      </w:pPr>
      <w:r>
        <w:t>Erwägungen</w:t>
      </w:r>
    </w:p>
    <w:p>
      <w:r>
        <w:rPr>
          <w:b/>
        </w:rPr>
        <w:t>E. 1</w:t>
      </w:r>
    </w:p>
    <w:p>
      <w:r>
        <w:t>S'agissant d'un recours pour violation de l'art. 45 Cst., le Tribunal fédéral n'est pas limité à l'examen des seuls griefs invoqués, mais recherche avec plein pouvoir si la décision attaquée viole ou non la constitution (arrêts non publiés du 31 mars 1949 dans la cause Künzler et du 14 septembre 1955 dans la cause Cuérel; BIRCHMEIER, Handbuch, p. 400). Il n'y a donc pas lieu de s'en tenir en l'espèce au seul moyen soulevé par le recourant et tiré de l'absence du domicile dans le canton de Neuchâtel.</w:t>
      </w:r>
    </w:p>
    <w:p>
      <w:r>
        <w:rPr>
          <w:b/>
        </w:rPr>
        <w:t>E. 2</w:t>
      </w:r>
    </w:p>
    <w:p>
      <w:r>
        <w:t>L'art. 45 al. 3 Cst. et la jurisprudence du Tribunal fédéral soumettent le retrait d'établissement à deux conditions. D'une part, l'expulsé doit avoir encouru deux condamnations au moins. Il est possible à cet égard de tenir compte de condamnations prononcées avec sursis quand cette mesure a été révoquée. Il faut d'ailleurs que la seconde de ces deux condamnations vise des actes que l'intéressé a commis depuis qu'il est établi sur le territoire du canton qui a prononcé l'expulsion. D'autre part, les condamnations retenues doivent concerner BGE 83 I 11 S. 14 des "délits graves", c'est-à-dire des infractions qui, par leur nature ou les circonstances dans lesquelles elles ont été commises, dénotent chez leur auteur un caractère asocial ou un mépris des lois tels que la présence du délinquant constitue un danger pour l'ordre public (RO 80 I 176, 72 I 174). Au demeurant et lors même que ces conditions sont réunies, l'art. 45 al. 3 Cst. n'autorise que le retrait et non le refus d'établissement. Il suppose donc nécessairement l'existence d'un établissement ou au moins d'une résidence de fait sur le territoire cantonal. D'après un arrêt Andreotti, du 12 mai 1954 (non publié), l'expulsé doit s'être trouvé en résidence dans le canton tant à l'époque où il a commis le dernier délit grave qu'à celle où il a été expulsé, à moins qu'il ne s'agisse soit d'un vagabond qui n'a jamais eu de domicile sur le territoire cantonal mais qui y commet le dernier délit grave, soit d'un individu qui, résidant en fait sur le territoire cantonal au moment de commettre le dernier délit grave, s'établit ensuite ailleurs pour échapper aux poursuites pénales ou à l'expulsion (cf. aussi RO 66 I 148, 69 I 169 et les autres arrêts cités dans l'arrêt Andreotti).</w:t>
      </w:r>
    </w:p>
    <w:p>
      <w:r>
        <w:rPr>
          <w:b/>
        </w:rPr>
        <w:t>E. 3</w:t>
      </w:r>
    </w:p>
    <w:p>
      <w:r>
        <w:t>En l'espèce, il est établi que, hormis les peines d'arrêts ou d'amende qui lui ont été infligées, le recourant a encouru deux condamnations à des peines d'emprisonnement, l'une en 1954, l'autre en 1956. Bien que celle datant de 1954 ait été prononcée avec sursis, il est possible d'en tenir compte, puisque le sursis a été révoqué le 12 juillet 1956. De plus, le second de ces jugements vise des faits que le recourant a commis alors qu'il était domicilié à Neuchâtel. L'exigence relative au nombre des condamnations est ainsi remplie. Il est vrai que le jugement du 13 mars 1956 réprime notamment une escroquerie commise en juin 1954, c'est-à-dire avant le jugement du 23 novembre 1954. S'il n'avait que cette infraction pour objet, on ne pourrait parler de condamnations "réitérées" (RO 49 I 114/115). Toutefois, il concerne également un BGE 83 I 11 S. 15 accident de circulation survenu en mars 1955, ainsi qu'un vol commis en juin 1955, soit après la condamnation du 23 novembre 1954. On peut donc admettre que le recourant a été condamné à réitérées fois. Il est clair d'autre part que les condamnations infligées visent des délits graves. La question de savoir s'il faut tenir compte de l'escroquerie commise avant la première condamnation dans le cadre du second jugement ou non est sans importance. En effet, ce second jugement concerne pour le surplus, ainsi qu'on l'a déjà rappelé, un accident de circulation et un vol. Or les faits exposés par le Tribunal montrent que les infractions retenues à la charge du recourant à l'occasion de cet accident (lésions corporelles par négligence, ivresse au volant, entrave à la circulation publique par négligence, délit de fuite) constituent des délits graves (cf. dossier cantonal, II, pages 470 ss.). Enfin, quant aux exigences relatives au lieu de résidence, il est constant tout d'abord que le recourant était domicilié à Neuchâtel quand il a commis les actes qui ont abouti à la condamnation du 13 mars 1956. Mais il l'était également jusqu'au moment où il a commencé à purger sa peine au pénitencier de Witzwil, époque à laquelle l'arrêté d'expulsion a été pris. Sans doute semble-t-il ressortir des pièces produites par lui (livret de service, carte d'immatriculation du Consulat de Suisse à Besançon) qu'il a quitté le canton de Neuchâtel au mois d'août 1955 pour aller habiter la France. Mais la réalité de ce séjour ne saurait être retenue au regard des constatations de fait très précises exposées par le Conseil d'Etat. Ces constatations sont d'ailleurs confirmées par l'examen du dossier pénal relatif à la condamnation du 13 mars 1956 et dont il ne paraît pas ressortir qu'après le mois de juillet 1955 le recourant ait été domicilié ailleurs que dans le canton de Neuchâtel (cf. par exemple dossier cantonal II, page 77). Dans ces conditions, on doit admettre que le recourant, qui paraît surtout avoir voulu chercher à créer une certaine équivoque, s'est trouvé en résidence dans le canton de BGE 83 I 11 S. 16 Neuchâtel tant au moment de la commission du dernier délit grave qu'au moment de l'expulsion. Toutes les exigences posées par la loi et la jurisprudence étant réunies, l'expulsion est justifiée.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