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95</w:t>
      </w:r>
    </w:p>
    <w:p>
      <w:r>
        <w:t>Bundesgericht (BGE), 1957-01-01, DE</w:t>
      </w:r>
    </w:p>
    <w:p>
      <w:r>
        <w:rPr>
          <w:b/>
        </w:rPr>
        <w:t xml:space="preserve">Quelle: </w:t>
      </w:r>
      <w:r>
        <w:t>https://mcp.opencaselaw.ch/entscheid/bge_BGE_83_IV_95</w:t>
      </w:r>
    </w:p>
    <w:p>
      <w:r>
        <w:t>FR: ATF 83 IV 95</w:t>
      </w:r>
    </w:p>
    <w:p>
      <w:r>
        <w:t>IT: DTF 83 IV 95</w:t>
      </w:r>
    </w:p>
    <w:p>
      <w:pPr>
        <w:pStyle w:val="Heading2"/>
      </w:pPr>
      <w:r>
        <w:t>Regeste</w:t>
      </w:r>
    </w:p>
    <w:p>
      <w:r>
        <w:t>Regeste Art.27 Abs. 1 MFG. Verhältnis dieser Bestimmung zu Art. 12bis SigV (Erw. 1). Besteht eine Rechtspflicht des Vortrittsberechtigten, seine Geschwindigkeit herabzusetzen, um andern Fahrzeugen, die in einer Stopstrasse warten, das Einbiegen zu ermöglichen? (Erw. 2, 3).</w:t>
      </w:r>
    </w:p>
    <w:p>
      <w:r>
        <w:t>Regeste Art.27 al. 1 LA. Rapport de cette disposition avec l'art. 12bis OSR (consid. 1). Celui qui est au bénéfice de la priorité a-t-il l'obligation juridique de réduire sa vitesse pour permettre à d'autres véhicules qui attendent à une rue munie du signal Stop de s'engager sur la rue prioritaire?</w:t>
      </w:r>
    </w:p>
    <w:p>
      <w:r>
        <w:t>Regesto Art.27 cp. 1 LA. Rapporto di questa disposizione con l'art. 12bis dell'Ordinanza concernente la segnalazione stradale (consid. 1). Incombe alla persona che ha la precedenza l'obbligo di rallentare onde permettere ad altri autoveicoli, i quali attendono su una strada munita di segnale stop, di inoltrarsi nella strada con diritto di precedenza?</w:t>
      </w:r>
    </w:p>
    <w:p>
      <w:pPr>
        <w:pStyle w:val="Heading2"/>
      </w:pPr>
      <w:r>
        <w:t>Erwägungen</w:t>
      </w:r>
    </w:p>
    <w:p>
      <w:r>
        <w:rPr>
          <w:b/>
        </w:rPr>
        <w:t>E. 1</w:t>
      </w:r>
    </w:p>
    <w:p>
      <w:r>
        <w:t>Art. 12 bis SigV schreibt dem Motorfahrzeugführer an Stellen mit Stopsignal einen Sicherheitshalt vor und entzieht ihm das Vortrittsrecht, das er allenfalls hätte. Mehr sagt die Vorschrift nicht. Insbesondere setzt sie weder ausdrücklich noch sinngemäss die Bestimmung des Art. 27 Abs. 1 MFG über den Rechtsvortritt ausser Kraft. Im Gegenteil. Art. 12 bis SigV will nicht nur die Unfallgefahr vermindern, sondern zu gleicher Zeit dem Verkehr auf der Strasse, in die die Stopstrasse einmündet, im Interesse einer flüssigen Abwicklung den Vorzug geben. Zu diesem Zweck entzieht die Verordnung den Fahrzeugen in der Stopstrasse das allenfalls bestehende Vortrittsrecht und überträgt es auf diejenigen auf der Hauptverkehrsader. Die dort von links kommenden werden damit ebenfalls vortrittsberechtigt. Es wäre daher sinnwidrig, anzunehmen, Art. 12 bis SigV habe Art. 27 Abs 1 MFG ausschalten wollen.</w:t>
      </w:r>
    </w:p>
    <w:p>
      <w:r>
        <w:rPr>
          <w:b/>
        </w:rPr>
        <w:t>E. 2</w:t>
      </w:r>
    </w:p>
    <w:p>
      <w:r>
        <w:t>Nach Art. 27 Abs. 1 MFG setzt der Rechtsvortritt gleichzeitiges Eintreffen zweier Fahrzeuge an einer Kreuzung oder Strasseneinmündung voraus. Gleichzeitigkeit ist gegeben, wenn der Vortrittsberechtigte seine Fahrt auf der Schnittfläche der beiden Strassen nicht mit gleichmässiger Geschwindigkeit fortsetzen könnte, ohne Gefahr zu laufen, mit dem von links kommenden Fahrzeug zusammenzustossen ( BGE 77 IV 219 , BGE 79 II 214 , BGE 80 IV 199 ). An dieser Rechtsprechung ist festzuhalten, und zwar - entgegen einem in der Zeitschrift des bernischen Juristenvereins 90 S. 416 angeführten kantonalen Urteil - ohne Rücksicht darauf, ob die Kreuzung ausser- oder innerorts liege und wie gross die Entfernung zwischen einem rasch fahrenden Vortrittsberechtigten und dem von links Kommenden sei. Wollte man von den geltenden Grundsätzen abweichen und dem Berechtigten die Pflicht BGE 83 IV 95 S. 98 auferlegen, die Geschwindigkeit zugunsten Nichtvortrittsberechtigter, die vor ihm einbiegen wollen, herabzusetzen, so würde das Vortrittsrecht als elementare Verkehrsregel entwertet. Die Folge wäre, dass eine erhebliche Unsicherheit an Kreuzungen und Strasseneinmündungen entstände, die Unfallgefahr erhöht und die mit der Einführung der Stopstrassen erstrebte Flüssigkeit des Verkehrs auf Durchgangsstrassen weitgehend vereitelt würde. Zudem wäre es schwierig, das Ausmass der dem Berechtigten obliegenden Pflicht zur Herabsetzung der Geschwindigkeit generell festzusetzen und im Einzelfall festzustellen, ob und inwieweit ihr nachgelebt worden sei. Richtig ist, dass starker Verkehr auf Durchgangstrassen in den einmündenden Stopstrassen zu Fahrzeugstauungen und zu langen Wartezeiten führen kann. Das gleiche Problem stellt sich aber auch in Nebenstrassen, die nicht mit einem Stopsignal versehen sind, und überall, wo aus sich kreuzenden Fahrzeugkolonnen nach links abgebogen werden soll. Diese mit der heutigen Verkehrsdichte zusammenhängenden Schwierigkeiten durch eine wesentliche Einschränkung des Rechtsvortrittsrechts beheben zu wollen, dafür aber eine erhebliche Lockerung der allgemeinen Verkehrssicherheit einzutauschen, wäre unzweckmässig und nicht zu verantworten. Wo die Polizei nicht durch besondere Anordnungen (Art. 18 MFG) eingreifen kann, bleibt als Lösung einzig der freiwillige Verzicht der Vortrittsberechtigten. Er beruht aber nicht auf gesetzlicher Pflicht und darf, wenn sich der Berechtigte nicht durch die sittlichen Gebote des Anstandes und der Rücksichtnahme leiten lässt, nicht erzwungen werden.</w:t>
      </w:r>
    </w:p>
    <w:p>
      <w:r>
        <w:rPr>
          <w:b/>
        </w:rPr>
        <w:t>E. 3</w:t>
      </w:r>
    </w:p>
    <w:p>
      <w:r>
        <w:t>Die Vorinstanz stellt verbindlich fest, dass der Beschwerdeführer während seines Einbiegens den von rechts kommenden Motorradfahrer seitlich abgedrängt und zum Bremsen gezwungen hat. Ob sie bei der Berechnung der Anfahrtswege den Grundsatz "in dubio pro reo" missachtet habe, der dem kantonalen Recht angehört, hat der Kassationshof auf Nichtigkeitsbeschwerde hin nicht zu BGE 83 IV 95 S. 99 überprüfen. Somit steht fest, dass der Motorradfahrer seine Fahrt nicht ungestört fortsetzen konnte, wollte er eine Kollision verhindern, und dass folglich die beiden Fahrzeuge gleichzeitig an der Kreuzung eingetroffen sind. Der Beschwerdeführer hat daher Art. 27 Abs. 1 MFG verletzt.</w:t>
      </w:r>
    </w:p>
    <w:p>
      <w:r>
        <w:rPr>
          <w:b/>
        </w:rPr>
        <w:t>E. 4</w:t>
      </w:r>
    </w:p>
    <w:p>
      <w:r>
        <w: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