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43</w:t>
      </w:r>
    </w:p>
    <w:p>
      <w:r>
        <w:t>Bundesgericht (BGE), 1957-01-01, DE</w:t>
      </w:r>
    </w:p>
    <w:p>
      <w:r>
        <w:rPr>
          <w:b/>
        </w:rPr>
        <w:t xml:space="preserve">Quelle: </w:t>
      </w:r>
      <w:r>
        <w:t>https://mcp.opencaselaw.ch/entscheid/bge_BGE_83_IV_43</w:t>
      </w:r>
    </w:p>
    <w:p>
      <w:r>
        <w:t>FR: ATF 83 IV 43</w:t>
      </w:r>
    </w:p>
    <w:p>
      <w:r>
        <w:t>IT: DTF 83 IV 43</w:t>
      </w:r>
    </w:p>
    <w:p>
      <w:pPr>
        <w:pStyle w:val="Heading2"/>
      </w:pPr>
      <w:r>
        <w:t>Regeste</w:t>
      </w:r>
    </w:p>
    <w:p>
      <w:r>
        <w:t>Regeste Art. 36 Abs.2 Satz 3 MFG. Wann hat der an einem Unfall beteiligte Fahrzeugführer den entstandenen Sachschaden dem Geschädigten oder der nächsten Polizeistelle zu melden?</w:t>
      </w:r>
    </w:p>
    <w:p>
      <w:r>
        <w:t>Regeste Art. 36 al. 2, 3e phrase LA. Quand est-ce que le conducteur d'un véhicule impliqué dans un accident doit aviser des dégâts matériels le lésé ou le poste de police le plus proche?</w:t>
      </w:r>
    </w:p>
    <w:p>
      <w:r>
        <w:t>Regesto Art. 36 cp.2,3a frase LA. Quando il conducente di un autoveicolo, implicato in un infortunio, deve avvisare il danneggiato o il posto di polizia più vicino dei danni materiali?</w:t>
      </w:r>
    </w:p>
    <w:p>
      <w:pPr>
        <w:pStyle w:val="Heading2"/>
      </w:pPr>
      <w:r>
        <w:t>Erwägungen</w:t>
      </w:r>
    </w:p>
    <w:p>
      <w:r>
        <w:rPr>
          <w:b/>
        </w:rPr>
        <w:t>E. 1</w:t>
      </w:r>
    </w:p>
    <w:p>
      <w:r>
        <w:t>Nach Art. 36 Abs. 2 Satz 3 MFG hat der Führer eines Motorfahrzeuges, das an einem Unfall beteiligt ist, bei dem nur Sachschaden entstand, dem Geschädigten oder der nächsten Polizeistelle sofort Anzeige zu machen sowie BGE 83 IV 43 S. 45 seinen Wohnsitz und Aufenthaltsort anzugeben. Daraus erhellt ohne weiteres, dass es nicht ins Belieben des Fahrzeugführers gestellt ist, wann er einen Unfallschaden melden will. Vielmehr ist er von Gesetzes wegen gehalten, diesen ohne Verzug, d.h. so rasch zur Anzeige zu bringen, als ihm nach den Umständen zuzumuten ist. Vorliegend kann dem Beschwerdegegner nicht zum Vorwurf gereichen, dass er nicht unbestimmt lange Zeit an der Unfallstelle auf den Geschädigten wartete, um ihm die Beschädigung des Fahrzeuges anzuzeigen und die erforderlichen Angaben zu machen. Konnte er doch nicht wissen, wann dieser zu seinem Wagen zurückkehren werde. Dagegen wäre es ihm zuzumuten gewesen, bevor er weiterfuhr, irgendwelche Vorkehren zu treffen, damit der Geschädigte spätestens nach der Rückkehr zu seinem Wagen über den Unfallschaden und die Person des Schädigers zuverlässig unterrichtet werde. Davon durfte er nur absehen, wenn er statt dessen die nächste Polizeistelle aufsuchte und dort den Schaden anzeigte. Da Mettler weder das eine noch das andere tat und dem angefochtenen Urteil nichts dafür zu entnehmen ist, dass er triftige Gründe hatte, mit der Meldung zuzuwarten, kann er sich nicht darauf berufen, die Unfallstelle in der Absicht verlassen zu haben, sich nachmittags mit dem Geschädigten in Verbindung zu setzen. Wie gesagt, steht es dem an einem Unfall beteiligten Fahrzeuglenker nicht zu, den Zeitpunkt der Schadensanzeige nach Belieben zu wählen, sondern hat er diese entsprechend den Umständen sofort zu erstatten. Dieser Pflicht hat der Beschwerdegegner nicht genügt.</w:t>
      </w:r>
    </w:p>
    <w:p>
      <w:r>
        <w:rPr>
          <w:b/>
        </w:rPr>
        <w:t>E. 2</w:t>
      </w:r>
    </w:p>
    <w:p>
      <w:r>
        <w:t>Entgegen der Annahme der Vorinstanz vermag ihn nicht zu entlasten, dass der Schaden am parkierten Personenwagen von der Polizei "auf nur etwa Fr. 80.-" geschätzt wurde. Das Gesetz spricht allgemein von Sachschaden und beschränkt die Meldepflicht nicht auf Fälle von Schäden grösseren Ausmasses. Ob besonders geringfügige Kollisionen hievon auszunehmen seien, ist nicht zu BGE 83 IV 43 S. 46 entscheiden. Jedenfalls kann ein Schaden in der vorliegend festgestellten Höhe nicht als geringfügig bezeichnet werden.</w:t>
      </w:r>
    </w:p>
    <w:p>
      <w:r>
        <w:rPr>
          <w:b/>
        </w:rPr>
        <w:t>E. 3</w:t>
      </w:r>
    </w:p>
    <w:p>
      <w:r>
        <w:t>Hat Mettler die ihm obliegende Meldepflicht verletzt, ist die Rüge des Polizeirichteramtes begründet. Das Urteil ist daher aufzuheben und die Sache zur Bestrafung des Beschwerdegegners auch wegen Übertretung von Art. 36 Abs. 2 MFG an die Vorinstanz zurückzuweisen. Diese wird dabei gemäss Art. 68 Ziff. 1 Abs. 2 StGB eine Gesamtbusse auszufällen haben, die sowohl der Übertretung des Art. 25 als auch der Widerhandlung gegen Art. 36 Abs. 2 MFG Rechnung trägt. Dispositiv Demnach erkennt der Kassationshof: Die Nichtigkeitsbeschwerde wird gutgeheissen, das Urteil des Einzelrichters in Strafsachen des Bezirksgerichtes Zürich vom 14. September 1956 aufgehoben und die Sache zu neuer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