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42</w:t>
      </w:r>
    </w:p>
    <w:p>
      <w:r>
        <w:t>Bundesgericht (BGE), 1957-02-08, DE</w:t>
      </w:r>
    </w:p>
    <w:p>
      <w:r>
        <w:rPr>
          <w:b/>
        </w:rPr>
        <w:t xml:space="preserve">Quelle: </w:t>
      </w:r>
      <w:r>
        <w:t>https://mcp.opencaselaw.ch/entscheid/bge_BGE_83_IV_42</w:t>
      </w:r>
    </w:p>
    <w:p>
      <w:r>
        <w:t>FR: ATF 83 IV 42</w:t>
      </w:r>
    </w:p>
    <w:p>
      <w:r>
        <w:t>IT: DTF 83 IV 42</w:t>
      </w:r>
    </w:p>
    <w:p>
      <w:pPr>
        <w:pStyle w:val="Heading2"/>
      </w:pPr>
      <w:r>
        <w:t>Regeste</w:t>
      </w:r>
    </w:p>
    <w:p>
      <w:r>
        <w:t>Regeste Art.36 Abs.2MFG. Wann ist jemand "verletzt"?</w:t>
      </w:r>
    </w:p>
    <w:p>
      <w:r>
        <w:t>Regeste Art. 36 al.2LA. Quand quelqu'un est-il "blessé"?</w:t>
      </w:r>
    </w:p>
    <w:p>
      <w:r>
        <w:t>Regesto Art. 36 cp.2LA. Quando è una persona "ferita"?</w:t>
      </w:r>
    </w:p>
    <w:p>
      <w:pPr>
        <w:pStyle w:val="Heading2"/>
      </w:pPr>
      <w:r>
        <w:t>Volltext</w:t>
      </w:r>
    </w:p>
    <w:p>
      <w:r>
        <w:t>Bundesgericht (BGE) Band IV 1957 BGE 83 IV 42 Tribunal fédéral (ATF) Volume IV 1957 BGE 83 IV 42 Tribunale federale (DTF) Volume IV 1957 BGE 83 IV 42</w:t>
      </w:r>
    </w:p>
    <w:p>
      <w:r>
        <w:t>Regeste Art.36 Abs.2MFG. Wann ist jemand "verletzt"? Regeste Art. 36 al.2LA. Quand quelqu'un est-il "blessé"? Regesto Art. 36 cp.2LA. Quando è una persona "ferita"?</w:t>
      </w:r>
    </w:p>
    <w:p>
      <w:r>
        <w:t>Urteilskopf 83 IV 42 10. Auszug aus dem Urteil des Kassationshofes vom 8. Februar 1957 i.S. Stump gegen Polizeirichteramt der Stadt Zürich. Regeste Art.36 Abs.2MFG. Wann ist jemand "verletzt"? Erwägungen ab Seite 42 BGE 83 IV 42 S. 42 Ist bei einem Motorfahrzeug- oder Fahrradunfall jemand verletzt worden, so ist der Führer des beteiligten Fahrzeugs einerseits zur Beistands- und Hilfeleistung an den Verletzten und anderseits zur Meldung des Unfalls an die nächste Polizeistelle und zur Angabe seiner Personalien verpflichtet (Art. 36 Abs. 2 MFG). Das Gesetz verwendet den Ausdruck Verletzung im Sinne von Personenschaden, was daraus hervorgeht, dass es ihn im Schlussatz des Art. 36 Abs. 2 dem Wort Sachschaden gegenüberstellt. Ebenso wird in Art. 37 Abs. 1 MFG von Tötung oder Verletzung eines Menschen und in Art. 39 MFG von körperlichem Schaden im Gegensatz zu Sachschaden gesprochen. Darnach ist unter dem Begriff Verletzung eine Schädigung der körperlichen Unversehrtheit oder des Gesundheitszustandes eines Menschen zu verstehen. Wie Art. 36 Abs.1 MFG den Begriff des Unfalls weit fasst und nicht eine Tragweite besonderer Art verlangt, so macht auch Abs. 2 keinen Unterschied, ob die Körperverletzung schwerer BGE 83 IV 42 S. 43 oder leichterer Natur ist, und ebensowenig, ob der Sachschaden ein erhebliches oder geringes Ausmass erreicht. Die Betrachtungsweise der Beschwerdeführerin geht daher fehl, wenn sie glaubt, unter Körperverletzung sei nur entweder eine Wunde mit Blutaustritt oder ein erkennbarer Bruch zu verstehen. Darunter fallen auch innere Verletzungen, die äusserlich nicht sichtbar sind, sowie Quetschungen und Schürfwunden, sofern es sich nicht bloss um geringfügige, praktisch bedeutungslose Schäden handelt. Nicht anders wird der Begriff der Körperverletzung im Haftpflichtrecht (vgl. STREBEL N. 23 zu Art. 37 MFG), in Art. 123 StGB ( BGE 72 IV 21 ) und auch nach allgemeinem Sprachgebrauch verstanden. Eine Quetschung mit Bluterguss, zumal wenn sie eine Arbeitsunfähigkeit von mindestens 4 Tagen zur Folge hat, ist daher eine Verletzung im Sinne des Art. 36 Abs. 2 MFG. Im vorliegenden Fall bestand ausserdem eine ausgesprochene Druckempfindlichkeit in der Gegend der untern Kreuzwirbel, wo vom nachbehandelnden Arzt eine Schwellung festgestellt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