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39</w:t>
      </w:r>
    </w:p>
    <w:p>
      <w:r>
        <w:t>Bundesgericht (BGE), 1956-12-03, DE</w:t>
      </w:r>
    </w:p>
    <w:p>
      <w:r>
        <w:rPr>
          <w:b/>
        </w:rPr>
        <w:t xml:space="preserve">Quelle: </w:t>
      </w:r>
      <w:r>
        <w:t>https://mcp.opencaselaw.ch/entscheid/bge_BGE_83_IV_39</w:t>
      </w:r>
    </w:p>
    <w:p>
      <w:r>
        <w:t>FR: ATF 83 IV 39</w:t>
      </w:r>
    </w:p>
    <w:p>
      <w:r>
        <w:t>IT: DTF 83 IV 39</w:t>
      </w:r>
    </w:p>
    <w:p>
      <w:pPr>
        <w:pStyle w:val="Heading2"/>
      </w:pPr>
      <w:r>
        <w:t>Regeste</w:t>
      </w:r>
    </w:p>
    <w:p>
      <w:r>
        <w:t>Regeste Art.27 Abs. 1,25Abs. 1 MFG. Vortrittsrecht, Sorgfaltspflichten des nicht Vortrittsberechtigten.</w:t>
      </w:r>
    </w:p>
    <w:p>
      <w:r>
        <w:t>Regeste Art. 27 al. 1 et 25 al. 1 LA. Priorité, devoirs de celui qui la doit.</w:t>
      </w:r>
    </w:p>
    <w:p>
      <w:r>
        <w:t>Regesto Art.27cp. 1 e25cp. 1 LA. Diritto di precedenza, obblighi di colui che non ha la precedenza.</w:t>
      </w:r>
    </w:p>
    <w:p>
      <w:pPr>
        <w:pStyle w:val="Heading2"/>
      </w:pPr>
      <w:r>
        <w:t>Erwägungen</w:t>
      </w:r>
    </w:p>
    <w:p>
      <w:r>
        <w:rPr>
          <w:b/>
        </w:rPr>
        <w:t>E. 1</w:t>
      </w:r>
    </w:p>
    <w:p>
      <w:r>
        <w:t>Nach den verbindlichen tatsächlichen Feststellungen der Vorinstanz und gemäss seiner eigenen Sachdarstellung hat Reimund dem von rechts kommenden Fahrzeug des Roth den Vortritt nicht gewährt und damit objektiv Art. 27 Abs. 1 MFG verletzt. Streitig ist dagegen, ob Reimund zum Verschulden anzurechnen sei, dass er mit einer Geschwindigkeit in die Kreuzung eingefahren ist, die ihm bei den gegebenen Strassen- und Sichtverhältnissen nicht erlaubte, dem gleichzeitig von rechts kommenden, für ihn durch die Brückenmauer verdeckten Fahrzeug des Roth den Vortritt zu gewähren.</w:t>
      </w:r>
    </w:p>
    <w:p>
      <w:r>
        <w:rPr>
          <w:b/>
        </w:rPr>
        <w:t>E. 2</w:t>
      </w:r>
    </w:p>
    <w:p>
      <w:r>
        <w:t>Art. 27 Abs. 1 MFG verpflichtet den Führer, bei Strassengabelungen und -kreuzungen die Geschwindigkeit seines Fahrzeuges zu mässigen und einem gleichzeitig von BGE 83 IV 39 S. 41 rechts kommenden Motorfahrzeug den Vortritt zu lassen. Bei dieser Bestimmung handelt es sich um eine Sondernorm zu der allgemeinen Vorschrift des Art. 25 Abs. 1 MFG, wonach der Führer die Geschwindigkeit den gegebenen Strassen- und Verkehrsverhältnissen anzupassen und überall da, wo das Fahrzeug Anlass zu Unfällen bieten könnte, den Lauf zu mässigen oder nötigenfalls anzuhalten hat ( BGE 73 IV 196 , BGE 76 IV 259 Erw. 4).</w:t>
      </w:r>
    </w:p>
    <w:p>
      <w:r>
        <w:rPr>
          <w:b/>
        </w:rPr>
        <w:t>E. 3</w:t>
      </w:r>
    </w:p>
    <w:p>
      <w:r>
        <w:t>Durch seine Fahrweise hat Reimund schon die allgemeine, durch Art. 25 Abs. 1 MFG begründete Pflicht verletzt, die Geschwindigkeit den gegebenen Strassenverhältnissen anzupassen. Überdies hat er aber auch der besonderen Pflicht gemäss Art. 27 Abs. 1 MFG nicht genügt, die Geschwindigkeit so weit zu mässigen, dass er einem gleichzeitig von rechts kommenden Motorfahrzeug den Vortritt hätte gewähren können. Gestatten die Strassenverhältnisse es nicht, ein von rechts kommendes niedriges Fahrzeug frühzeitig zu erblicken, wie es hier bei der über eine Brücke mit hoher Mauerbrüstung einmündenden Strasse der Fall war, so hat der nicht Vortrittsberechtigte seine Geschwindigkeit so weit zu mässigen, dass er von dem Zeitpunkt an, in welchem er das andere Fahrzeug frühestens erblicken kann, noch rechtzeitig anzuhalten vermag. Das hat Reimund nicht getan, sondern er hat sich, als er beim Blick nach rechts kein Fahrzeug wahrnahm, kurzerhand darauf verlassen, es komme von dort auch kein Fahrzeug, das seiner geringen Höhe wegen von der Brückenmauer verdeckt sein könnte. Mit dieser Annahme trug er den heutigen Grössenverhältnissen vieler Personenwagen, namentlich von Sportwagen, nicht Rechnung. Diese Unterlassung gereicht ihm zum Verschulden. Der Motorfahrzeugführer hat heute jederzeit mit dem Auftauchen von Personenwagen mit einer Höhe von 1.20 m und weniger zu rechnen. Bei Sichthindernissen, die eine solche Höhe erreichen, wie hier die Brückenmauer, hat-er deshalb die Geschwindigkeit so weit herabzusetzen, dass er auch einem von rechts hinter einem solchen Sichthindernis BGE 83 IV 39 S. 42 auftauchenden niedrigen Fahrzeug noch den Vortritt gewähren kann. Dispositiv Demnach erkennt der Kassationshof: Die Nichtigkeitsbeschwerde wird gutgeheissen, das Urteil des Einzelrichters in Strafsachen des Bezirksgerichts Zürich vom 3. Dezember 1956 wird aufgehoben und die Sache zur Bestrafung des Beschwerdegegners wegen Verletzung von Art. 27 Abs. 1 MFG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