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IV 194</w:t>
      </w:r>
    </w:p>
    <w:p>
      <w:r>
        <w:t>Bundesgericht (BGE), 1957-01-01, DE</w:t>
      </w:r>
    </w:p>
    <w:p>
      <w:r>
        <w:rPr>
          <w:b/>
        </w:rPr>
        <w:t xml:space="preserve">Quelle: </w:t>
      </w:r>
      <w:r>
        <w:t>https://mcp.opencaselaw.ch/entscheid/bge_BGE_83_IV_194</w:t>
      </w:r>
    </w:p>
    <w:p>
      <w:r>
        <w:t>FR: ATF 83 IV 194</w:t>
      </w:r>
    </w:p>
    <w:p>
      <w:r>
        <w:t>IT: DTF 83 IV 194</w:t>
      </w:r>
    </w:p>
    <w:p>
      <w:pPr>
        <w:pStyle w:val="Heading2"/>
      </w:pPr>
      <w:r>
        <w:t>Regeste</w:t>
      </w:r>
    </w:p>
    <w:p>
      <w:r>
        <w:t>Regeste Art. 321 StGB; VerletzungdesBerufsgeheimnisses. Begriff des "nach Obligationenrecht zur Verschwiegenheit verpflichteten Revisors".</w:t>
      </w:r>
    </w:p>
    <w:p>
      <w:r>
        <w:t>Regeste Art. 321 CP; violation du secret professionnel. Notion du contrôleur astreint "au secret professionnel en vertu du code des obligations".</w:t>
      </w:r>
    </w:p>
    <w:p>
      <w:r>
        <w:t>Regesto Art. 321 CP; violazione del segreto professionale. Nozione del revisore tenuto "al segreto professionale in virtù del codice delle obbligazioni".</w:t>
      </w:r>
    </w:p>
    <w:p>
      <w:pPr>
        <w:pStyle w:val="Heading2"/>
      </w:pPr>
      <w:r>
        <w:t>Volltext</w:t>
      </w:r>
    </w:p>
    <w:p>
      <w:r>
        <w:t>Bundesgericht (BGE) Band IV 1957 BGE 83 IV 194 Tribunal fédéral (ATF) Volume IV 1957 BGE 83 IV 194 Tribunale federale (DTF) Volume IV 1957 BGE 83 IV 194</w:t>
      </w:r>
    </w:p>
    <w:p>
      <w:r>
        <w:t>Regeste Art. 321 StGB; VerletzungdesBerufsgeheimnisses. Begriff des "nach Obligationenrecht zur Verschwiegenheit verpflichteten Revisors". Regeste Art. 321 CP; violation du secret professionnel. Notion du contrôleur astreint "au secret professionnel en vertu du code des obligations". Regesto Art. 321 CP; violazione del segreto professionale. Nozione del revisore tenuto "al segreto professionale in virtù del codice delle obbligazioni".</w:t>
      </w:r>
    </w:p>
    <w:p>
      <w:r>
        <w:t>Urteilskopf 83 IV 194 57. Auszug aus dem Urteil des Kassationshofes vom 6. September 1957 i.S. de Perrot gegen Staatsanwaltschaft des Kantons Zürich, sowie Gamper und Ochsé. Regeste Art. 321 StGB ; VerletzungdesBerufsgeheimnisses. Begriff des "nach Obligationenrecht zur Verschwiegenheit verpflichteten Revisors". Sachverhalt ab Seite 195 BGE 83 IV 194 S. 195 A.- Roger de Perrot stellte am 2. August 1956 bei der Bezirksanwaltschaft Zürich Strafanzeige gegen Ernst Gamper und John Ochsé u.a. wegen Verletzung des Berufsgeheimnisses ( Art. 321 StGB ). Gamper ist Präsident des Verwaltungsrates der Schweizerischen Kreditanstalt und Vizepräsident des Verwaltungsrates der "Fides" Treuhand-Vereinigung; Ochsé ist Vizedirektor der "Fides". Nach der Strafanzeige soll Gamper ein von der "Fides" für de Perrot erstattetes Gutachten vom 10. November 1955 über dessen Geschäfte mit der Schweizerischen Schiffshypothekenbank an Dr. O. Aeppli von der Schweizerischen Kreditanstalt zur Bearbeitung weitergegeben haben. Dadurch habe Gamper die berufliche Geheimhaltungspflicht verletzt, zu der er als Mitglied des Verwaltungsrates der "Fides" auf Grund der eindeutigen Instruktion des Anzeigers verpflichtet gewesen sei, da dieser mit Schreiben vom 7. März 1956 an Direktor Rasi von der "Fides" lediglich der Aushändigung des Berichtes an die Mitglieder des Verwaltungsrates und der Direktion der "Fides" zugestimmt, dagegen ausdrücklich untersagt habe, "que ce rapport soit pour le moment communiqué au Crédit Suisse ou au Crédit Hypothécaire pour la Navigation SA". Ochsé wird vorgeworfen, er habe anlässlich einer Zusammenkunft mit Dr. Aeppli mit diesem das (geheimzuhaltende) Gutachten besprochen. B.- Die Bezirksanwaltschaft Zürich stellte am 23. November 1956 die Strafuntersuchung ein, mit der Begründung, das Sonderdelikt des Art. 321 StGB könne nur begehen, wer einen der in dieser Bestimmung angeführten Berufe ausübe. Diese Voraussetzung erfüllten weder Gamper noch Ochsé. Für sie habe daher keine gesetzliche Pflicht zur Geheimhaltung bestanden, weshalb sie wegen der Weitergabe des Berichtes strafrechtlich nicht zur Verantwortung gezogen werden könnten. Den Rekurs, den de Perrot gegen diese Verfügung erhob, wies die Staatsanwaltschaft des Kantons Zürich BGE 83 IV 194 S. 196 am 12. Februar 1957 ab. Sie nahm an, die den Angeschuldigten vorgeworfene Handlung erfülle weder den Tatbestand der Verletzung eines Berufsgeheimnisses im Sinne des Art. 321 StGB , noch denjenigen des Geheimnisverrates im Sinne des Art. 162 StGB . C.- Gegen den Rekursentscheid führt de Perrot Nichtigkeitsbeschwerde mit den Anträgen, er sei aufzuheben und die Sache sei zur Vornahme ergänzender Untersuchungen und zur Anklageerhebung an die Staatsanwaltschaft zurückzuweisen. Er macht geltend, die Rekursbehörde habe den Begriff der Verletzung des Berufsgeheimnisses und des Geschäftsgeheimnisses unrichtig ausgelegt und den in der Strafanzeige behaupteten Tatbestand willkürrlich beurteilt. D.- Die Staatsanwaltschaft des Kantons Zürich beantragt, die Beschwerde sei abzuweisen. Erwägungen Aus den Erwägungen: Die Möglichkeit einer Verurteilung der Beschwerdegegner nach Art. 321 StGB hängt davon ab, ob sie vom "Fides"-Bericht in einer der in Ziff. 1 daselbst vorgesehenen Eigenschaft Kenntnis erhalten haben. In Betracht kommt hiebei nur die Tätigkeit als "nach Obligationenrecht zur Verschwiegenheit verpflichtete Revisoren". Dieser Wortlaut weist indessen eindeutig auf die Fälle gesetzlich vorgeschriebener Verschwiegenheit hin, im Unterschied zu vertraglich vereinbarten, nicht schon von Gesetzes wegen bestehenden Verschwiegenheitspflichten. Die Strafnorm auf bloss vertragliche Pflichten solcher Art ausdehnen, hiesse ihren Anwendungsbereich in einer durch den klaren Text des Gesetzes nicht mehr gedeckten Weise erweitern. Es ist denn auch in der Literatur anerkannt und entspricht überdies der bei der Gesetzesberatung kundgegebenen Auffassung, dass der strafrechtliche Schutz des Berufsgeheimnisses nur den durch das Obligationenrecht selbst, nämlich durch die Art. 730, 819 Abs. 2 und 919 OR begründeten Geheimhaltungspflichten zukommt, dass somit nur die Revisoren der Aktiengesellschaften und der BGE 83 IV 194 S. 197 Genossenschaften, sowie die besondern Kontrollstellen der Gesellschaften mit beschränkter Haftung unter die erwähnte Kategorie des Art. 321 Ziff. 1 StGB fallen (HAFTER, Bes. Teil II S. 854; LOGOZ, Kommentar, N. 3 lit. d zu Art. 321; THORMANN-OVERBECK, N. 6 zu Art. 321; Sten.Bull. Sonderausgabe, NatR 802, 804/5; StR 392, 396, 399). Die Ansicht des Beschwerdeführers, vertragliche Verschwiegenheitspflichten (z.B. der Revisoren der Personengesellschaften oder der Einzelkaufleute) seien auf gleiche Linie wie gesetzliche zu stellen, trifft somit in strafrechtlicher Hinsicht nicht zu. Es ist auch nicht so, dass Art. 321 Ziff. 1 als Täter nur hauptsächlich in Betracht kommende Fälle nennen würde, denen andere, ähnliche Fälle, wie eben der vorliegende, gleichzustellen wären. Die Strafnorm umschreibt den Kreis der Täter abschliessend; sie lässt sich nicht anders verstehen und wird auch in der Doktrin einmütig so verstanden (vgl. HAFTER, Bes. Teil II S. 852, 855; LOGOZ, Kommentar, N. 3 zu Art. 321; THORMANN-OVERBECK, N. 3 zu Art. 321). Der Ständerat nahm freilich seinerzeit eine Erweiterung des strafrechtlichen Schutzes auf alle durch Stand oder Beruf zur Geheimniswahrung Verpflichteten in Aussicht, liess diese Lösung aber schliesslich wieder fallen (vgl. Sten.Bull. Sonderausgabe, StR 231, 233, 333, 362, 379, 391/92, 396, 399). Ebenso wurde der weniger weit gehende Vorschlag, neben den nach Obligationenrecht zur Verschwiegenheit Verpflichteten auch die Büchersachverständigen (vgl. Art. 723 OR ) in die Strafandrohung einzubeziehen, von den eidgenössischen Räten abgelehnt (vgl. Sten.Bull. Sonderausgabe, NatR 802, 804; StR 391, 396, 399). Bei dieser Sachlage lässt sich nicht von einer Lücke des Gesetzes sprechen; jedenfalls ist dessen Ergänzung durch Gerichtspraxis in dem vom Beschwerdeführer verfochtenen Sinne nicht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