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163</w:t>
      </w:r>
    </w:p>
    <w:p>
      <w:r>
        <w:t>Bundesgericht (BGE), 1957-01-01, DE</w:t>
      </w:r>
    </w:p>
    <w:p>
      <w:r>
        <w:rPr>
          <w:b/>
        </w:rPr>
        <w:t xml:space="preserve">Quelle: </w:t>
      </w:r>
      <w:r>
        <w:t>https://mcp.opencaselaw.ch/entscheid/bge_BGE_83_IV_163</w:t>
      </w:r>
    </w:p>
    <w:p>
      <w:r>
        <w:t>FR: ATF 83 IV 163</w:t>
      </w:r>
    </w:p>
    <w:p>
      <w:r>
        <w:t>IT: DTF 83 IV 163</w:t>
      </w:r>
    </w:p>
    <w:p>
      <w:pPr>
        <w:pStyle w:val="Heading2"/>
      </w:pPr>
      <w:r>
        <w:t>Regeste</w:t>
      </w:r>
    </w:p>
    <w:p>
      <w:r>
        <w:t>Regeste Art.25 Abs.1, 26 Abs. 3 MFG. Vorsichtspflicht des Führers, der ausserhalb einer Strassenkreuzung oder -gabelung nach links abbiegt (Änderung der Rechtsprechung).</w:t>
      </w:r>
    </w:p>
    <w:p>
      <w:r>
        <w:t>Regeste Art.25 al.1 et 26 al. 3 LA. Devoir de prudence du conducteur qui tourne à gauche en dehors d'une croisée ou d'une bifurcation (changement de jurisprudence).</w:t>
      </w:r>
    </w:p>
    <w:p>
      <w:r>
        <w:t>Regesto Art.25 cp.1 e 26 cp. 3 LA. Dovere di prudenza del conducente che svolta a sinistra fuori di un crocevia o di una biforcazione (cambiamento di giurisprudenza).</w:t>
      </w:r>
    </w:p>
    <w:p>
      <w:pPr>
        <w:pStyle w:val="Heading2"/>
      </w:pPr>
      <w:r>
        <w:t>Erwägungen</w:t>
      </w:r>
    </w:p>
    <w:p>
      <w:r>
        <w:rPr>
          <w:b/>
        </w:rPr>
        <w:t>E. 1</w:t>
      </w:r>
    </w:p>
    <w:p>
      <w:r>
        <w:t>Nach ständiger Rechtsprechung des Bundesgerichtes sind Stellen, wo Garageeinfahrten, Privatwege udgl. mit der öffentlichen Strasse zusammentreffen, nicht Strassenkreuzungen im Sinne des Art. 26 Abs. 3 MFG, an denen das Überholen verboten wäre ( BGE 64 II 318 , BGE 76 IV 58 , BGE 78 IV 183 ). Wer an solchen Orten nach links abschwenken will, hat daher vor einem nachfolgenden Fahrzeug nicht den Vortritt und muss alle Vorsicht walten lassen, um einen Zusammenstoss zu vermeiden. Insbesondere hat er die beabsichtigte Richtungsänderung rechtzeitig anzuzeigen, seine Geschwindigkeit herabzusetzen und mit erhöhter Aufmerksamkeit den in gleicher wie in entgegengesetzter Richtung sich bewegenden Verkehr zu beobachten; er darf, wie der Führer, der auf der Strasse wenden will ( Art. 48 Abs. 3 MFV ), sein Manöver erst ausführen, wenn er sicher sein kann, damit die übrigen Strassenbenützer nicht zu gefährden (vgl. BGE 76 IV 58 ).</w:t>
      </w:r>
    </w:p>
    <w:p>
      <w:r>
        <w:rPr>
          <w:b/>
        </w:rPr>
        <w:t>E. 2</w:t>
      </w:r>
    </w:p>
    <w:p>
      <w:r>
        <w:t>Unbestritten ist, dass die Beschwerdegegnerin ihre Absicht, nach links abzubiegen, rechtzeitig zu erkennen gab, den Lauf ihres Fahrzeuges mässigte und innert einer Strecke von ca. 30 m zweimal in den Rückspiegel blickte, ein erstes Mal vor Betätigung des Richtungsanzeigers und sodann, unmittelbar bevor sie nach links abbog. Dafür, dass sie es bei Beobachtung der hinter ihr liegenden Strassenstrecke durch den Rückspiegel an der erforderlichen Aufmerksamkeit hätte fehlen lassen, enthalten weder das angefochtene Urteil noch die Akten sichere Anhaltspunkte. Die Tatsache, dass Frau Dinkel den ihr folgenden Rollerfahrer nicht gesehen hat, lässt sich demnach nur so erklären, dass dieser durch den zwischen Seiten- und Rückfenster befindlichen Teil der Wagenwand verdeckt war. BGE 83 IV 163 S. 166 Vermittelte ihr aber die Beobachtung durch den Rückspiegel kein vollständiges Bild der tatsächlichen Verkehrslage, durfte sie sich nicht auf die so gemachte Wahrnehmung verlassen. Zwar wurde in BGE 78 IV 184 ausgesprochen, dass der Führer seiner Vorsichtspflicht genüge, wenn er vor dem Abbiegen nach links ernsthaft durch den Rückspiegel beobachte. Daran kann indessen nach erneuter Prüfung nicht festgehalten werden. Bei dem sog. sichttoten Winkel handelt es sich um ein in der Bauart des Fahrzeuges liegenden Faktor, den der Führer zum vorneherein in Rechnung zu stellen hat. Es geht nicht an, das Verborgenbleiben eines nachfolgenden Fahrzeuges dem Zufall zuzuschreiben und die sich aus dem toten Winkel ergebenden Risiken auf andere Strassenbenützer abzuwälzen. Wer links abbiegen will, hat als Vortrittsbelasteter selbst dafür zu sorgen, dass solche Gefahren ausgeschaltet werden. Ob das in der Weise zu geschehen habe, dass der Fahrzeuglenker vor Ausführung des Manövers ausser durch den Rückspiegel auch durch das seitliche Fenster beobachtet, lässt sich nicht allgemein entscheiden. Zwar sind Fälle denkbar, bei denen diese Vorkehr genügt, um dem Führer die Sicherheit zu geben, dass er ohne Störung des Verkehrs nach links abbiegen kann. Immer aber wird eine solche Massnahme nicht zureichende Gewähr dafür bieten, dass ihm nicht ein von hinten herannahendes Fahrzeug verborgen bleibt, ganz abgesehen davon, dass bei rechtsgesteuerten Wagen eine Beobachtung durch das linke Seitenfenster unzumutbar und unzweckmässig wäre. Je nach der Verkehrslage, der Weite des durch die Bauart des Fahrzeuges bedingten toten Winkels und der Steuerung des Wagens wird demnach der Führer in unterschiedlicher Weise (z.B. langsames Fahren über eine angemessene Strecke unter ständiger Beobachtung nach vorne und rückwärts, zusätzliche Beobachtung des Verkehrs durch einen Mitfahrer, Einschalten eines Sicherheitshalts udgl.) vorgehen müssen, um seiner Vorsichtspflicht zu genügen. BGE 83 IV 163 S. 167 Im vorliegenden Fall hat die Beschwerdegegnerin vor dem Abbiegen nach links zweimal in den Rückspiegel geblickt, im übrigen aber nichts vorgekehrt, um die sich aus dem toten Winkel ergebenden Gefahren zu beheben. Hätte sie den für ihr Manöver in Betracht fallenden Verkehr so aufmerksam beobachtet, wie sie es als Vortrittsbelastete unter den gegebenen Umständen zu tun verpflichtet war, hätte sie den ihr folgenden Rollerfahrer rechtzeitig wahrnehmen und einen Zusammenstoss vermeiden können. Das hat sie nicht getan, weswegen sie nach Art. 25 Abs. 1 MFG zu bestrafen ist. Dispositiv Demnach erkennt der Kassationshof: Die Nichtigkeitsbeschwerde wird gutgeheissen, das Urteil des Einzelrichters in Strafsachen des Bezirksgerichts Zürich vom 9. Mai 1957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