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154</w:t>
      </w:r>
    </w:p>
    <w:p>
      <w:r>
        <w:t>Bundesgericht (BGE), 1957-01-01, DE</w:t>
      </w:r>
    </w:p>
    <w:p>
      <w:r>
        <w:rPr>
          <w:b/>
        </w:rPr>
        <w:t xml:space="preserve">Quelle: </w:t>
      </w:r>
      <w:r>
        <w:t>https://mcp.opencaselaw.ch/entscheid/bge_BGE_83_IV_154</w:t>
      </w:r>
    </w:p>
    <w:p>
      <w:r>
        <w:t>FR: ATF 83 IV 154</w:t>
      </w:r>
    </w:p>
    <w:p>
      <w:r>
        <w:t>IT: DTF 83 IV 154</w:t>
      </w:r>
    </w:p>
    <w:p>
      <w:pPr>
        <w:pStyle w:val="Heading2"/>
      </w:pPr>
      <w:r>
        <w:t>Regeste</w:t>
      </w:r>
    </w:p>
    <w:p>
      <w:r>
        <w:t>Regeste Art. 186 StGB. Hausfriedensbruch. Wer ist "Berechtigter" in einem Haus, das vom Vermieter und von Mietern bewohnt wird? Wann ist das Eindringen oder Verweilen "unrechtmässig"?</w:t>
      </w:r>
    </w:p>
    <w:p>
      <w:r>
        <w:t>Regeste Art.186 CP. Violation de domicile. Qui est l'ayant-droit dans une maison habitée par le bailleur et par des locataires? Quand le fait de pénétrer ou de demeurer dans la maison est-il "illicite"?</w:t>
      </w:r>
    </w:p>
    <w:p>
      <w:r>
        <w:t>Regesto Art. 186 CP. Violazione di domicilio. Chi è l'"avente diritto" in una casa abitata dal locatore e da inquilini? Quando è illecito il fatto di introdursi o di trattenersi in una casa?</w:t>
      </w:r>
    </w:p>
    <w:p>
      <w:pPr>
        <w:pStyle w:val="Heading2"/>
      </w:pPr>
      <w:r>
        <w:t>Erwägungen</w:t>
      </w:r>
    </w:p>
    <w:p>
      <w:r>
        <w:rPr>
          <w:b/>
        </w:rPr>
        <w:t>E. 1</w:t>
      </w:r>
    </w:p>
    <w:p>
      <w:r>
        <w:t>Nach Art. 186 StGB macht sich wegen Hausfriedensbruchs strafbar, wer gegen den Willen des Berechtigten in ein Haus, in eine Wohnung usw. unrechtmässig eindringt oder, trotz der Aufforderung eines Berechtigten, sich zu entfernen, darin verweilt. Der Hausfriedensbruch ist, wie dessen Einreihung unter den 4. Teil des Strafgesetzbuches zeigt, ein Vergehen gegen die Freiheit. Geschützt wird das Hausrecht, worunter die Befugnis zu verstehen ist, über einen bestimmten Raum ungestört zu herrschen und in ihm seinen eigenen Willen frei zu betätigen. Träger des Hausrechts ist derjenige, dem die Verfügungsgewalt über den Raum zusteht, gleichgültig, ob sie auf einem dinglichen oder obligatorischen Recht oder auf einem öffentlichrechtlichen Verhältnis beruht. Im Falle der Vermietung einer Wohnung ist es der Mieter, der die überlassenen Räume innehat und über sie unmittelbar verfugt, insbesondere darüber entscheidet, wer sich darin aufhalten darf; auf die Eigentumsverhältnisse kommt es nicht an. Das Hausrecht als Teil der Persönlichkeitsrechte des Inhabers eines Raums steht daher ausschliesslich dem Mieter zu, nicht zugleich dem Vermieter, der auf die tatsächliche Verfügungsmacht über BGE 83 IV 154 S. 157 die vermieteten Räume verzichtet hat und darin seinen persönlichen Willen nicht mehr zur Geltung bringen kann. Deshalb handelt der Vermieter nicht in Ausübung des Hausrechts, sondern allein gestützt auf Miet- und Vertragsrecht, wenn er in die Wohnung des Mieters eindringt, um z.B. dringende Ausbesserungen vorzunehmen ( Art. 256 Abs. 1 OR ). Ebenso kann er sich nicht auf das Hausrecht berufen, wenn der Mieter die Wohnung vertragswidrig, z.B. zu unsittlichen Zwecken, gebraucht. Verletzungen des Mietvertrages durch den Mieter berühren die obligationenrechtlichen Beziehungen, greifen aber nicht in die Persönlichkeitssphäre ein, die das Hausrecht zum Gegenstand hat; der Vermieter bleibt in solchen Fällen auf die Rechtsbehelfe des Zivilrechts und gegebenenfalls des Polizeistrafrechts angewiesen. R. war zur Mitbenutzung der vermieteten Wohnung nicht befugt. Zur Ausübung des Hausrechts in diesen Räumen, d.h. berechtigt im Sinne des Art. 186 StGB war daher einzig die Mieterin G. Der Beschwerdeführer ist mit deren Einwilligung, also nicht gegen den Willen des Berechtigten und damit auch nicht unrechtmässig in die Wohnung eingedrungen. Denn unrechtmässiges Eindringen oder Verweilen setzt immer voraus, dass sich der Täter dem Willen des Inhabers des Hausrechts widersetzt; die Widerrechtlichkeit fehlt, wenn der Berechtigte einwilligt oder wenn der Täter ein Recht besitzt, kraft dessen er den entgegenstehenden Willen des Berechtigten nicht zu beachten braucht, wie das z.B. zutrifft, wenn ein Beamter mit öffentlichrechtlicher Befugnis eine Verhaftung, Beschlagnahme, Hausdurchsuchung in Verletzung des Hausrechts vornimmt.</w:t>
      </w:r>
    </w:p>
    <w:p>
      <w:r>
        <w:rPr>
          <w:b/>
        </w:rPr>
        <w:t>E. 2</w:t>
      </w:r>
    </w:p>
    <w:p>
      <w:r>
        <w:t>Das Hausrecht des Mieters erstreckt sich grundsätzlich auch auf die ausserhalb seiner Wohnung liegenden Räume, wie Hauseingang, Gänge, Treppenhaus, deren Benutzung Vermieter und Mietern gemeinsam zusteht. Der Anspruch des Mieters, die Zugänge zu seiner Wohnung zu benutzen, umfasst auch die Befugnis, sie Dritten zur BGE 83 IV 154 S. 158 Verfügung zu halten, denen er den Zutritt zu seiner Wohnung gestattet, ansonst er sein Recht, Besuche zu empfangen, nicht ausüben könnte (BECKER N. 7 zu Art. 254/255 OR). So wie ein Mitberechtigter dem andern die Benutzung der zum gemeinschaftlichen Gebrauch bestimmten Teile des Hauses nicht verbieten kann, so wenig darf er einem Dritten, der einen Mitberechtigten mit dessen Einwilligung besuchen will, den Zutritt untersagen, jedenfalls solange nicht, als sich die Benutzung des Dritten auf die zum Betreten der Wohnung notwendigen Zugänge beschränkt und der Dritte die Benutzung nicht zu Eingriffen in die Persönlichkeitsrechte anderer Mitberechtigter missbraucht. Im vorliegenden Fall wird dem Beschwerdeführer nicht vorgeworfen, er habe auf den Zugängen zur Wohnung seiner Verlobten ein Verhalten an den Tag gelegt, durch das R. in seinen persönlichen Verhältnissen verletzt worden sei. R. verbot ihm das Haus, weil er am gemeinsamen Nächtigen der Verlobten Anstoss nahm, und auch die Vorinstanz hat nur in diesem Verhalten die Rechtswidrigkeit des Eindringens erblickt.</w:t>
      </w:r>
    </w:p>
    <w:p>
      <w:r>
        <w:rPr>
          <w:b/>
        </w:rPr>
        <w:t>E. 3</w:t>
      </w:r>
    </w:p>
    <w:p>
      <w:r>
        <w:t>Der Beschwerdeführer hat das Hausrecht des R. nicht verletzt, somit ihm gegenüber keinen Hausfriedensbruch begangen. Er ist daher freizusprechen. Dispositiv Demnach erkennt der Kassationshof: Die Nichtigkeitsbeschwerde wird gutgeheissen, das Urteil des Kantonsgerichts St. Gallen vom 8. Juli 1957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