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135</w:t>
      </w:r>
    </w:p>
    <w:p>
      <w:r>
        <w:t>Bundesgericht (BGE), 1957-01-01, DE</w:t>
      </w:r>
    </w:p>
    <w:p>
      <w:r>
        <w:rPr>
          <w:b/>
        </w:rPr>
        <w:t xml:space="preserve">Quelle: </w:t>
      </w:r>
      <w:r>
        <w:t>https://mcp.opencaselaw.ch/entscheid/bge_BGE_83_IV_135</w:t>
      </w:r>
    </w:p>
    <w:p>
      <w:r>
        <w:t>FR: ATF 83 IV 135</w:t>
      </w:r>
    </w:p>
    <w:p>
      <w:r>
        <w:t>IT: DTF 83 IV 135</w:t>
      </w:r>
    </w:p>
    <w:p>
      <w:pPr>
        <w:pStyle w:val="Heading2"/>
      </w:pPr>
      <w:r>
        <w:t>Regeste</w:t>
      </w:r>
    </w:p>
    <w:p>
      <w:r>
        <w:t>Regeste Art. 49 Ziff. 4 letzter Satz StGB. Verfehlungen, die keine vorsätzlichen Verbrechen oder Vergehen sind, begründen den Widerruf der bedingt vorzeitigen Löschung eines Busseneintrages im Strafregister nur, wenn darin eine Täuschung des richterlichen Vertrauens liegt. Verneinung dieses Erfordernisses im Falle einer leichten Übertretung von Art. 49 MFV.</w:t>
      </w:r>
    </w:p>
    <w:p>
      <w:r>
        <w:t>Regeste Art. 49 ch. 4 dernière phrase CP. Lorsque, pendant le délai d'épreuve, le condamné commet une infraction qui n'est ni un crime ni un délit intentionnels, c'est seulement s'il a, de ce fait, trompé la confiance mise en lui par le juge qu'il y a lieu de révoquer la décision ordonnant, sous condition, que l'amende sera radiée au casier judiciaire. Tel n'est pas le cas lorsque le condamné n'a commis qu'une légère contravention à l'art. 49 RA.</w:t>
      </w:r>
    </w:p>
    <w:p>
      <w:r>
        <w:t>Regesto Art. 49 num. 4 ultima frase CP. Le infrazioni che sono state commesse nel periodo di prova e che non rivestono il carattere di crimini o delitti intenzionali giustificano la revoca della cancellazione della multa nel casellario giudiziale solo qualora sia in tale modo delusa la fiducia riposta dal giudice nel condannato. Tale presupposto non è adempiuto nel caso di una leggera contravvenzione all'art. 49 RLA.</w:t>
      </w:r>
    </w:p>
    <w:p>
      <w:pPr>
        <w:pStyle w:val="Heading2"/>
      </w:pPr>
      <w:r>
        <w:t>Erwägungen</w:t>
      </w:r>
    </w:p>
    <w:p>
      <w:r>
        <w:rPr>
          <w:b/>
        </w:rPr>
        <w:t>E. 1</w:t>
      </w:r>
    </w:p>
    <w:p>
      <w:r>
        <w:t>Gemäss Art. 49 Ziff. 4 (letzter Satz) StGB findet Art. 41 Ziff. 3, der den Widerruf des bedingten Strafvollzuges regelt, "sinngemäss" auch Anwendung auf die bedingt vorzeitige Löschung eines Busseneintrages im Strafregister. Nach dem ausdrücklichen Wortlaut des Art. 41 Ziff. 3 zieht die während der Probezeit begangene Straftat den Vollzug der bedingt aufgeschobenen Strafe nur dann zwingend nach sich, wenn die Tat ein vorsätzliches Verbrechen oder Vergehen ist. Die sinngemässe Anwendung dieser Bestimmung auf die bedingt vorzeitige Löschung eines Busseneintrages führt notwendig dazu, dass auch in diesem Fall nur die vorsätzliche Begehung eines Verbrechens oder Vergehens während der Probezeit den Widerruf der Massnahme zwingend zur Folge hat. Dagegen genügt für sich allein nicht die fahrlässige Verübung einer strafbaren Handlung oder die Begehung einer blossen BGE 83 IV 135 S. 137 Übertretung, wie das Statthalteramt anzunehmen scheint.</w:t>
      </w:r>
    </w:p>
    <w:p>
      <w:r>
        <w:rPr>
          <w:b/>
        </w:rPr>
        <w:t>E. 2</w:t>
      </w:r>
    </w:p>
    <w:p>
      <w:r>
        <w:t>Verfehlungen, die keine vorsätzlichen Verbrechen oder Vergehen sind, namentlich fahrlässig begangene strafbare Handlungen sowie Übertretungen, können den Widerruf der bedingt vorzeitigen Löschung eines Busseneintrages ebenso wie den Widerruf des bedingt aufgeschobenen Strafvollzuges begründen, wenn sie das Vertrauen täuschen, das der Richter auf den Verurteilten gesetzt hat (Art. 41 Ziff. 3 Abs. 1). Nach der Rechtsprechung darf eine Täuschung des richterlichen Vertrauens aber nicht leichthin angenommen werden; Natur und Schwere des Fehltritts wie die Umstände, unter denen er begangen wurde, müssen von einer Schwäche zeugen, die der Verurteilte mit Rücksicht auf die Bewährungsprobe hätte meistern können und sollen ( BGE 72 IV 148 , BGE 75 IV 158 , BGE 77 IV 3 ). Diese Voraussetzungen treffen im vorliegenden Fall, den auch das Amtsstatthalteramt als Bagatellfall bezeichnet, nicht zu. Die objektiv leichte, einmalige Verfehlung des falschen Parkierens, zumal sie fahrrlässig begangen wurde und ein grobes Verschulden nicht gegeben ist, rechtfertigt den Vorwurf des Missbrauchs richterlichen Vertrauens nicht. Der angefochtenen Widerrufsverfügung fehlt daher die gesetzliche Grundlage. Dispositiv Demnach erkennt der Kassationshof: Die Nichtigkeitsbeschwerde wird gutgeheissen, die Verfügung des Amtsstatthalteramtes Luzern-Stadt vom 5. Februar 1957 aufgehoben und die Sache zu neuer Entscheidung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