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134</w:t>
      </w:r>
    </w:p>
    <w:p>
      <w:r>
        <w:t>Bundesgericht (BGE), 1957-01-01, DE</w:t>
      </w:r>
    </w:p>
    <w:p>
      <w:r>
        <w:rPr>
          <w:b/>
        </w:rPr>
        <w:t xml:space="preserve">Quelle: </w:t>
      </w:r>
      <w:r>
        <w:t>https://mcp.opencaselaw.ch/entscheid/bge_BGE_83_IV_134</w:t>
      </w:r>
    </w:p>
    <w:p>
      <w:r>
        <w:t>FR: ATF 83 IV 134</w:t>
      </w:r>
    </w:p>
    <w:p>
      <w:r>
        <w:t>IT: DTF 83 IV 134</w:t>
      </w:r>
    </w:p>
    <w:p>
      <w:pPr>
        <w:pStyle w:val="Heading2"/>
      </w:pPr>
      <w:r>
        <w:t>Regeste</w:t>
      </w:r>
    </w:p>
    <w:p>
      <w:r>
        <w:t>Regeste Art. 41 Ziff. 3 Abs. 1StGB. Der Grundsatz, dass die vorsätzliche Begehung eines Verbrechens oder Vergehens den Widerruf des bedingten Strafvollzuges zwingend nach sich zieht, gilt einzig in besonders leichten Fällen (Abs. 2) nicht.</w:t>
      </w:r>
    </w:p>
    <w:p>
      <w:r>
        <w:t>Regeste Art.41 ch. 3 al. 1 CP. C'est uniquement dans les cas de très peu de gravité (al. 2) que la règle selon laquelle la commission intentionnelle d'un crime ou d'un délit entraîne la révocation du sursis ne vaut pas.</w:t>
      </w:r>
    </w:p>
    <w:p>
      <w:r>
        <w:t>Regesto Art. 41 num. 3 cp. 1 CP. Unicamente nei casi di esigua gravità (cp. 2) non vale il principio, secondo cui la consumazione intenzionale di un crimine o di un delitto ha per conseguenza la revoca della sospensione condizionale della pena.</w:t>
      </w:r>
    </w:p>
    <w:p>
      <w:pPr>
        <w:pStyle w:val="Heading2"/>
      </w:pPr>
      <w:r>
        <w:t>Volltext</w:t>
      </w:r>
    </w:p>
    <w:p>
      <w:r>
        <w:t>Bundesgericht (BGE) Band IV 1957 BGE 83 IV 134 Tribunal fédéral (ATF) Volume IV 1957 BGE 83 IV 134 Tribunale federale (DTF) Volume IV 1957 BGE 83 IV 134</w:t>
      </w:r>
    </w:p>
    <w:p>
      <w:r>
        <w:t>Regeste Art. 41 Ziff. 3 Abs. 1StGB. Der Grundsatz, dass die vorsätzliche Begehung eines Verbrechens oder Vergehens den Widerruf des bedingten Strafvollzuges zwingend nach sich zieht, gilt einzig in besonders leichten Fällen (Abs. 2) nicht. Regeste Art.41 ch. 3 al. 1 CP. C'est uniquement dans les cas de très peu de gravité (al. 2) que la règle selon laquelle la commission intentionnelle d'un crime ou d'un délit entraîne la révocation du sursis ne vaut pas. Regesto Art. 41 num. 3 cp. 1 CP. Unicamente nei casi di esigua gravità (cp. 2) non vale il principio, secondo cui la consumazione intenzionale di un crimine o di un delitto ha per conseguenza la revoca della sospensione condizionale della pena.</w:t>
      </w:r>
    </w:p>
    <w:p>
      <w:r>
        <w:t>Urteilskopf 83 IV 134 35. Auszug aus dem Urteil des Kassationshofes vom 11. Juli 1957 i.S. Gaudy gegen Staatsanwaltschaft des Kantons Zürich. Regeste Art. 41 Ziff. 3 Abs. 1StGB. Der Grundsatz, dass die vorsätzliche Begehung eines Verbrechens oder Vergehens den Widerruf des bedingten Strafvollzuges zwingend nach sich zieht, gilt einzig in besonders leichten Fällen (Abs. 2) nicht. Sachverhalt ab Seite 134 BGE 83 IV 134 S. 134 Aus dem Tatbestand: Gaudy beging während der ihm vom Obergericht Zürich auferlegten Probezeit vorsätzlich Unzucht mit Kindern und wurde deswegen vom Obergericht von Appenzell A.Rh. zu einer bedingt vollziehbaren Gefängnisstrafe verurteilt. Er ficht den Vollzug der vom Obergericht Zürich bedingt aufgeschobenen Gefängnisstrafe unter anderem mit der Begründung an, seit der Revision des Strafgesetzbuches von 1950 ziehe ein während der Probezeit vorsätzlich begangenes Verbrechen oder Vergehen nicht mehr zwingend den Vollzug der bedingt aufgeschobenen Strafe nach sich. Erwägungen Aus den Erwägungen: Die Strafe ist auch dann vollziehen zu lassen, wenn dem Verurteilten für das während der Probezeit begangene neue Verbrechen oder Vergehen wiederum der bedingte BGE 83 IV 134 S. 135 Strafvollzug zugebilligt worden ist. Diese gesetzliche Regelung, die schon bisher galt ( BGE 70 IV 108 ), hat durch die Gesetzesrevision von 1950 keine Änderung erfahren. Die Revision hat zwar zu der Lockerung geführt, dass der Richter nunmehr ermächtigt ist, in besonders leichten Fällen an Stelle des Strafvollzuges eine der in Art. 41 Ziff. 3 Abs. 2 StGB aufgeführten Ersatzmassnahmen treten zu lassen. Für Fälle wie den vorliegenden, wo diese Voraussetzung nicht zutrifft, hat der Gesetzgeber auf eine Abschwächung des zwingenden Charakters der Ziff. 3 Abs. 1 aber bewusst verzichtet und damit gewollt an der alten Ordnung festgehalten (vgl. Botschaft des Bundesrates vom 20. Juni 1949, BBl 1949 I S. 1249). Von einer Gesetzeslücke, die der Richter ausfüllen könnte, kann daher entgegen der Ansicht des Beschwerdeführers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