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115</w:t>
      </w:r>
    </w:p>
    <w:p>
      <w:r>
        <w:t>Bundesgericht (BGE), 1957-01-01, DE</w:t>
      </w:r>
    </w:p>
    <w:p>
      <w:r>
        <w:rPr>
          <w:b/>
        </w:rPr>
        <w:t xml:space="preserve">Quelle: </w:t>
      </w:r>
      <w:r>
        <w:t>https://mcp.opencaselaw.ch/entscheid/bge_BGE_83_IV_115</w:t>
      </w:r>
    </w:p>
    <w:p>
      <w:r>
        <w:t>FR: ATF 83 IV 115</w:t>
      </w:r>
    </w:p>
    <w:p>
      <w:r>
        <w:t>IT: DTF 83 IV 115</w:t>
      </w:r>
    </w:p>
    <w:p>
      <w:pPr>
        <w:pStyle w:val="Heading2"/>
      </w:pPr>
      <w:r>
        <w:t>Regeste</w:t>
      </w:r>
    </w:p>
    <w:p>
      <w:r>
        <w:t>Regeste Art. 347 Abs. 1StGB.Gerichtsstand der Presse. Wo wird die Druckschrift (hier: Prospekt eines Filialgeschäftes) herausgegeben?</w:t>
      </w:r>
    </w:p>
    <w:p>
      <w:r>
        <w:t>Regeste Art. 347 al. 1 CP. For de la poursuite en matière de délits commis par la voie de la presse. Où un imprimé (prospectus d'une entreprise à succursales) a-t-il été édité?</w:t>
      </w:r>
    </w:p>
    <w:p>
      <w:r>
        <w:t>Regesto Art. 347 cp. 1 CP. Foro in materia di stampa. Dove è stato pubblicato uno stampato (in concreto, prospetto di una filiale)?</w:t>
      </w:r>
    </w:p>
    <w:p>
      <w:pPr>
        <w:pStyle w:val="Heading2"/>
      </w:pPr>
      <w:r>
        <w:t>Erwägungen</w:t>
      </w:r>
    </w:p>
    <w:p>
      <w:r>
        <w:rPr>
          <w:b/>
        </w:rPr>
        <w:t>E. 1</w:t>
      </w:r>
    </w:p>
    <w:p>
      <w:r>
        <w:t>Da ein negativer Kompetenzkonflikt besteht, ist der Strafkläger berechtigt, die Anklagekammer des Bundesgerichtes BGE 83 IV 115 S. 117 anzurufen, ohne vorher in einem oder beiden der beteiligten Kantone den Instanzenzug zu erschöpfen ( BGE 71 IV 58 ; BGE 73 IV 62 ; BGE 78 IV 248 ). Gemäss Art. 264 BStP hätte der Streit übrigens von Amtes wegen der Anklagekammer unterbreitet werden sollen ( BGE 71 IV 58 E. 1; BGE 78 IV 248 E. 1).</w:t>
      </w:r>
    </w:p>
    <w:p>
      <w:r>
        <w:rPr>
          <w:b/>
        </w:rPr>
        <w:t>E. 2</w:t>
      </w:r>
    </w:p>
    <w:p>
      <w:r>
        <w:t>Der unlautere Wettbewerb, der Vögele vorgeworfen wird, ist durch das Mittel der Druckerpresse begangen worden. Gemäss Art. 347 Abs. 1 StGB sind daher die Behörden des Ortes zuständig, wo die Druckschrift herausgegeben wurde. Herausgegeben wird das Presseerzeugnis dort, wo es an die Öffentlichkeit gelangt ( BGE 66 I 226 und dort angeführte Entscheidungen, ferner nicht veröffentlicher Entscheid der Anklagekammer vom 8. November 1945 i.S. Genf gegen Basel-Stadt). Die Werbeschrift, die Gegenstand der Strafanzeige bildet, ist nach der von der Bezirksanwaltschaft Zürich glaubwürdig erachteten Darstellung des Beschuldigten am Hauptsitz der Firma Vögele G.m.b.H. in Uznach verfasst und von dort aus in Bern in Druck gegeben worden. Daraus lässt sich mit Bezug auf den Herausgabeort indessen nichts ableiten, da der Textentwurf gleich wie der Druckauftrag und der Druck selbst interne Vorgänge sind. An die Öffentlichkeit gelangt die Druckschrift erst durch den Versand, das Verteilen an Dritte. Dafür, dass der Prospekt unmittelbar vom Geschäftssitz Uznach aus an die Öffentlichkeit gelangt (versandt worden) sei, enthalten die Akten keine Anhaltspunkte. Infolgedessen ist auch die Annahme der Bezirksanwaltschaft Zürich, der Herausgabeort falle mit dem Hauptsitz der Firma Vögele G.m.b.H. (Uznach) zusammen, nicht haltbar, und zwar selbst dann nicht, wenn zutreffen sollte, dass der Auftrag zur Verbreitung des Prospektes von Uznach aus gegeben worden ist; denn durch den Auftrag, die Werbeschrift zu verbreiten (zu versenden und auszutragen), wird deren Herausgabe erst angeordnet, aber nicht bereits vollzogen. Massgebend für den Gerichtsstand des Art. 347 Abs. 1 StGB ist aber der Ort, von dem BGE 83 IV 115 S. 118 aus die Druckschrift tatsächlich an die Öffentlichkeit gelangte.</w:t>
      </w:r>
    </w:p>
    <w:p>
      <w:r>
        <w:rPr>
          <w:b/>
        </w:rPr>
        <w:t>E. 3</w:t>
      </w:r>
    </w:p>
    <w:p>
      <w:r>
        <w:t>Es ist unbestritten, dass die für den Zürcher Kundenkreis bestimmte Auflage des Prospektes in Zürich zum Postversand und Austrag kam, worauf übrigens auch der Postaufgabe-Vordruck "PP Zürich" am Kopfe des Prospektes hinweist. Die Bezirksanwaltschaft Zürich nimmt allerdings an, dass es sich bei den von Zürich aus verbreiteten Werbeschriften nur um einen Teil einer auch an anderen Orten herausgegebenen Gesamtauflage gehandelt habe. Wie es sich damit verhält, kann indessen dahingestellt bleiben, da die Zürcher Auflage jedenfalls einen nicht unerheblichen Teil einer Gesamtauflage darstellte. Gegen die Annahme der Bezirksanwaltschaft spricht übrigens schon die Aufmachung der Titelseite des Prospektes mit dem in Grösse, Farbe und Druck besonders hervorgehobenen Hinweis auf die "2 Moto-Centers in Zürich", demgegenüber der Hinweis auf die Geschäfte in Bern und Chur, ja selbst auf das Geschäft in Uznach deutlich zurücktritt. Diese Ausgestaltung gibt dem Prospekt - wenn überhaupt von einem Teil einer Gesamtauflage gesprochen werden kann - eindeutig das Gepräge einer auf den Zürcher Kundenkreis abgestimmten, besonderen Ausgabe (Sonderausgabe), der umsomehr selbständige Bedeutung zukommt, als nach aussen in keiner Weise, namentlich nicht durch besondere Hinweise auf den Hauptsitz der Firma oder auf den Druckort, kundgegeben wird, dass sie nur Teil einer anderorts herausgegebenen Gesamtauflage bilde. Jedermann wird sich unter solchen Umständen darauf verlassen dürfen, dass die Druckschrift an dem als Postversand-Stelle bezeichneten Ort herausgegeben, nicht nur weiterverbreitet worden sei. Ein "fliegender Gerichtsstand", den Art. 347 StGB nach Möglichkeit zu vermeiden trachtet, wird dadurch nicht geschaffen. Die Möglichkeit besteht allerdings, dass unter Umständen, wie sie hier vorliegen, mehrere Orte als Herausgabeort des Prospektes in Erscheinung treten, BGE 83 IV 115 S. 119 während in der Regel nur ein einziger anerkannt werden kann. Grundsätzlich ist aber ein mehrfacher Erscheinungsort nicht ausgeschlossen ( BGE 66 I 227 ). Ein in seiner Aufmachung örtlich abgestimmter Prospekt ist zudem unter dem Gesichtspunkte seiner Herausgabe einer allgemeinen, von solcher Aufmachung freien Werbeschrift durchaus nicht ohne weiteres gleichzustellen. Der Herausgeber hat es übrigens in der Hand, sich auch für eine in Teilauflagen erfolgende Ausgabe eines Prospektes im vorneherein einen einheitlichen Gerichtsstand zu sichern, indem er in der Druckschrift selbst den Ort der Herausgabe eindeutig, klar und wahrheitsgemäss angibt.</w:t>
      </w:r>
    </w:p>
    <w:p>
      <w:r>
        <w:rPr>
          <w:b/>
        </w:rPr>
        <w:t>E. 4</w:t>
      </w:r>
    </w:p>
    <w:p>
      <w:r>
        <w:t>Ist demnach davon auszugehen, dass Zürich Herausgabeort des an den dortigen Kundenkreis der Firma versandten Prospektes sei, so ändert der Umstand, dass nachträglich Strafanzeige auch im Kanton St. Gallen erhoben wurde, wo sich der Wohnort des Verfassers der Druckschrift befindet, an der Zuständigkeit der zürcherischen Strafverfolgungsbehörden nichts. Wenn, wie hier, der Verfasser der Druckschrift bekannt ist und in der Schweiz wohnt, kann das Verfahren allerdings auch an seinem Wohnort durchgeführt werden, jedoch nur dann, wenn dort die Untersuchung zuerst angehoben wurde (Art. 347 Abs. 1 a.E. StGB). Im vorliegenden Falle ist die erste Strafanzeige jedoch in Zürich eingereicht worden.</w:t>
      </w:r>
    </w:p>
    <w:p>
      <w:r>
        <w:rPr>
          <w:b/>
        </w:rPr>
        <w:t>E. 5</w:t>
      </w:r>
    </w:p>
    <w:p>
      <w:r>
        <w:t>Es besteht auch kein Anlass, aus Zweckmässigkeitsgründen vom gesetzlichen Gerichtsstand des Art. 347 StGB abzuweichen, wie dies an sich möglich wäre (vgl. BGE 79 IV 57 Erw. 3). Da auf Grund der Akten als Herausgabeort einzig Zürich in Frage kommt, ist es vielmehr zweckmässig, das Verfahren dort durchzuführen. Dazu kommt, dass sich in Zürich, worauf der Prospekt mit dem besonders hervorgehobenen Hinweis auf die zwei Stadtgeschäfte schliessen lässt, offenbar ein wesentlicher Teil der geschäftlichen Tätigkeit der Firma, namentlich des wirtschaftlichen Wettbewerbes abwickelt, dessen Missbrauch dem Angeschuldigten vorgeworfen wird. Damit BGE 83 IV 115 S. 120 erhält dieser Ort auch ein Übergewicht gegenüber dem Wohnort des Verfassers der Druckschrift, selbst dann, wenn dieser mit dem Geschäftssitz der Firma zusammenfallen sollte.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