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105</w:t>
      </w:r>
    </w:p>
    <w:p>
      <w:r>
        <w:t>Bundesgericht (BGE), 1957-01-01, DE</w:t>
      </w:r>
    </w:p>
    <w:p>
      <w:r>
        <w:rPr>
          <w:b/>
        </w:rPr>
        <w:t xml:space="preserve">Quelle: </w:t>
      </w:r>
      <w:r>
        <w:t>https://mcp.opencaselaw.ch/entscheid/bge_BGE_83_IV_105</w:t>
      </w:r>
    </w:p>
    <w:p>
      <w:r>
        <w:t>FR: ATF 83 IV 105</w:t>
      </w:r>
    </w:p>
    <w:p>
      <w:r>
        <w:t>IT: DTF 83 IV 105</w:t>
      </w:r>
    </w:p>
    <w:p>
      <w:pPr>
        <w:pStyle w:val="Heading2"/>
      </w:pPr>
      <w:r>
        <w:t>Regeste</w:t>
      </w:r>
    </w:p>
    <w:p>
      <w:r>
        <w:t>Regeste Art. 2 Abs. 1, Art. 13 UWG. Wer kann wegen unlauteren Wettbewerbs Strafantrag stellen?</w:t>
      </w:r>
    </w:p>
    <w:p>
      <w:r>
        <w:t>Regeste Art. 2 al. 1, art. 13 LCD. Quelle est la personne habile à déposer une plainte pénale pour concurrence déloyale?</w:t>
      </w:r>
    </w:p>
    <w:p>
      <w:r>
        <w:t>Regesto Art. 2 cp. 1, art. 13 LCS. Chi può sporgere querela penale per concorrenza sleale?</w:t>
      </w:r>
    </w:p>
    <w:p>
      <w:pPr>
        <w:pStyle w:val="Heading2"/>
      </w:pPr>
      <w:r>
        <w:t>Volltext</w:t>
      </w:r>
    </w:p>
    <w:p>
      <w:r>
        <w:t>Bundesgericht (BGE) Band IV 1957 BGE 83 IV 105 Tribunal fédéral (ATF) Volume IV 1957 BGE 83 IV 105 Tribunale federale (DTF) Volume IV 1957 BGE 83 IV 105</w:t>
      </w:r>
    </w:p>
    <w:p>
      <w:r>
        <w:t>Regeste Art. 2 Abs. 1, Art. 13 UWG. Wer kann wegen unlauteren Wettbewerbs Strafantrag stellen? Regeste Art. 2 al. 1, art. 13 LCD. Quelle est la personne habile à déposer une plainte pénale pour concurrence déloyale? Regesto Art. 2 cp. 1, art. 13 LCS. Chi può sporgere querela penale per concorrenza sleale?</w:t>
      </w:r>
    </w:p>
    <w:p>
      <w:r>
        <w:t>Urteilskopf 83 IV 105 29. Auszug aus dem Urteil des Kassationshofes vom 10. Mai 1957 i.S. Worni und Meschenmoser gegen Schweiz. Lampen- und Metallwaren-AG Regeste Art. 2 Abs. 1, Art. 13 UWG . Wer kann wegen unlauteren Wettbewerbs Strafantrag stellen? Erwägungen ab Seite 105 BGE 83 IV 105 S. 105 Die Strafverfolgung wegen unlauteren Wettbewerbes setzt einen Strafantrag voraus. Dieser steht den zur Zivilklage berechtigten Personen und Verbänden zu ( Art. 13 UWG ). Antragsberechtigt ist also in erster Linie, "wer durch unlauteren Wettbewerb in seiner Kundschaft, seinem Kredit oder beruflichen Ansehen, in seinem Geschäftsbetrieb oder sonst in seinen wirtschaftlichen Interessen geschädigt oder gefährdet ist" ( Art. 2 Abs. 1 UWG ). Obschon diese Bestimmung es nicht ausdrücklich sagt, gibt sie das Klagerecht nicht irgendwem, sondern nur den Mitbewerbern des Beschuldigten. Das folgt daraus, dass Art. 2 Abs. 2 darüber hinaus die Kunden als klageberechtigt erklärt. Das wäre überflüssig, wenn jeder, dessen wirtschaftliche Interessen verletzt oder gefährdet sind, auf Grund des Abs. 1 klagen könnte. Dass das Klagerecht der ausserhalb des wirtschaftlichen Wettbewerbs stehenden Personen sich nicht von selbst versteht, kommt auch darin zum Ausdruck, dass Abs. 2 es den Kunden nur zuerkennt, wenn der unlautere Wettbewerb ihre wirtschaftlichen Interessen schädigt, nicht schon, wenn er sie nur gefährdet. Es wäre nicht zu verstehen, wenn Personen, die weder am Wettbewerb teilnehmen, noch Kunden sind, bei blosser Gefährdung ihrer Interessen gemäss Abs. 1 zu klagen befugt BGE 83 IV 105 S. 106 wären, während die Kunden, die an einem den Grundsätzen von Treu und Glauben entsprechenden Geschäftsgebaren in der Regel mehr interessiert sind, gemäss Abs. 2 den Richter nur im Falle der Schädigung anrufen können. Auch die Beispiele geschützter Interessen, deren Verletzung oder Gefährdung gemäss Abs. 1 zur Klage berechtigt, deuten an, dass diese Bestimmung sich nur auf Interessen von Mitbewerbern bezieht. Zwar folgt der beispielsweisen Aufzählung der Kundschaft, des Kredites, des beruflichen Ansehens und des Geschäftsbetriebes eine allgemeine Klausel, wonach auch die Verletzung oder Gefährdung anderer wirtschaftlicher Interessen zur Klage berechtigt. Damit sollen jedoch in Abweichung von Art. 48 OR , der nur den Besitz der Geschäftskundschaft wahren wollte, lediglich weitere Interessen des Mitbewerbers geschützt werden, z.B. das Interesse an der Erhaltung seiner Bezugsquellen (vgl. Botschaft des Bundesrates, BBl 1942 694). Die Möglichkeit des Schutzes anderer als der aufgezählten Interessen bedeutet nicht, dass irgendwer wegen Verletzung oder Gefährdung irgendwelcher wirtschaftlicher Interessen klagen könne. Die Botschaft zum Gesetzesentwurf führt denn auch in den Erläuterungen zu Art. 2 Abs. 1 nur die Mitbewerber als klageberechtigt an (BBl 1942 693). Das Recht, zu klagen und Strafantrag zu stellen, steht daher z.B. den Lieferanten oder Gläubigern eines Mitbewerbers des Beschuldigten nicht zu. Aber auch die Mitbewerber haben es nicht schlechthin. Berechtigt ist nur der, dessen vom Recht geschützte wirtschaftliche Interessen durch die Handlung unmittelbar verletzt oder gefährdet werden. Insoweit unterscheiden sich Art. 2 und 13 UWG nicht von Art. 28 Abs. 1 StGB , der nach bundesgerichtlicher Rechtsprechung ein Antragsrecht nur dem zuerkennt, dessen Rechtsgut durch die strafbare Handlung unmittelbar betroffen wird, nicht auch einem Dritten, den sie nur mittelbar schädigt ( BGE 74 IV 7 ). Handlungen, die zwar im Rahmen des wirtschaftlichen Wettbewerbs stehen und an deren Unterlassung BGE 83 IV 105 S. 107 daher alle Mitbewerber wirtschaftlich interessiert sein können, die aber nach den in Art. 13 UWG aufgestellten Tatbestandsmerkmalen einen Eingriff in besondere Interessen eines einzelnen von ihnen voraussetzen, können daher nur auf Antrag dieses in seinen besonderen Interessen unmittelbar verletzten Mitbewerbers verfolgt werden. Das trifft insbesondere in den Fällen der Buchstaben f und g des Art. 13 zu, die erfüllt sind, wenn der Täter einen Dienstpflichtigen, Beauftragten oder eine andere Hilfsperson zum Verrat oder zur Auskundschaftung von Fabrikations- oder Geschäftsgeheimnissen ihres Dienstherrn oder Auftraggebers verleitet, bzw. wenn er Fabrikations- oder Geschäftsgeheimnisse verwertet oder andern mitteilt, die er ausgekundschaftet oder von denen er sonstwie gegen Treu und Glauben Kenntnis erlangt hat. Antragsberechtigt ist nur der Träger des Geheimnisses. Nur er wird durch die Handlung in rechtlich geschützten Interessen unmittelbar getroffen. Andere Mitbewerber haben keinen Anspruch darauf, dass das Geheimnis gewahrt werde. Mögen sie auch durch die Tat benachteiligt werden, weil sie den Beschuldigten im Wettbewerb begünstigt, so haben sie sich doch damit abzufinden, wie sie es auch hinzunehmen hätten, wenn das Geheimnis von seinem Träger freiwillig zugunsten des Beschuldigten preisgegeben worden wäre. Dass das Bundesgericht in Auslegung des Art. 48 OR entschieden hat, das Klagerecht setze nicht einen gegen den Kläger persönlich gerichteten Angriff voraus ( BGE 58 II 430 ff.), ändert nichts. Das bleibt durchaus richtig, wenn die Handlung, wie in jenem Falle, nicht ihrer Natur nach nur durch Eingriff in die Interessen eines ganz bestimmten Mitbewerbers begangen werden kann, z.B. wenn der Täter über sich, die eigenen Waren, Werke, Leistungen oder Geschäftsverhältnisse unrichtige oder irreführende Angaben macht, um das eigene Angebot im Wettbewerb zu begünstigen ( Art. 13 lit. b UWG ). Jeder Mitbewerber hat, ohne persönlich angegriffen zu sein, Anspruch darauf, dass solche Irreführung der Kunden unterbleibe, und ist durch sie in BGE 83 IV 105 S. 108 seinen vom Recht geschützten wirtschaftlichen Interessen unmittelbar geschädigt oder gefährdet und daher klageberechtigt.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